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C1C" w:rsidRDefault="00D34C1C" w:rsidP="00D34C1C">
      <w:bookmarkStart w:id="0" w:name="_GoBack"/>
      <w:bookmarkEnd w:id="0"/>
    </w:p>
    <w:p w:rsidR="00D34C1C" w:rsidRDefault="00D34C1C" w:rsidP="00D34C1C"/>
    <w:p w:rsidR="00D34C1C" w:rsidRDefault="00D34C1C" w:rsidP="00D34C1C"/>
    <w:p w:rsidR="00D34C1C" w:rsidRDefault="00D34C1C" w:rsidP="00D34C1C"/>
    <w:p w:rsidR="00D34C1C" w:rsidRDefault="00D34C1C" w:rsidP="00D34C1C"/>
    <w:p w:rsidR="00D34C1C" w:rsidRDefault="00D34C1C" w:rsidP="00D34C1C"/>
    <w:p w:rsidR="00D34C1C" w:rsidRDefault="00D34C1C" w:rsidP="00D34C1C"/>
    <w:p w:rsidR="00D34C1C" w:rsidRDefault="00D34C1C" w:rsidP="00D34C1C"/>
    <w:p w:rsidR="00D34C1C" w:rsidRDefault="00D34C1C" w:rsidP="00D34C1C"/>
    <w:p w:rsidR="00D34C1C" w:rsidRDefault="00D34C1C" w:rsidP="00D34C1C"/>
    <w:p w:rsidR="00D34C1C" w:rsidRDefault="00D34C1C" w:rsidP="00D34C1C"/>
    <w:p w:rsidR="00D34C1C" w:rsidRDefault="00D34C1C" w:rsidP="00D34C1C">
      <w:pPr>
        <w:jc w:val="center"/>
        <w:rPr>
          <w:rFonts w:ascii="Times New Roman" w:hAnsi="Times New Roman" w:cs="Times New Roman"/>
          <w:sz w:val="28"/>
          <w:szCs w:val="28"/>
        </w:rPr>
      </w:pPr>
      <w:r>
        <w:rPr>
          <w:rFonts w:ascii="Times New Roman" w:hAnsi="Times New Roman" w:cs="Times New Roman"/>
          <w:sz w:val="28"/>
          <w:szCs w:val="28"/>
        </w:rPr>
        <w:t>Marketing Strategy</w:t>
      </w:r>
    </w:p>
    <w:p w:rsidR="00D34C1C" w:rsidRDefault="00D34C1C" w:rsidP="00D34C1C">
      <w:pPr>
        <w:jc w:val="center"/>
        <w:rPr>
          <w:rFonts w:ascii="Times New Roman" w:hAnsi="Times New Roman" w:cs="Times New Roman"/>
          <w:sz w:val="28"/>
          <w:szCs w:val="28"/>
        </w:rPr>
      </w:pPr>
      <w:r>
        <w:rPr>
          <w:rFonts w:ascii="Times New Roman" w:hAnsi="Times New Roman" w:cs="Times New Roman"/>
          <w:sz w:val="28"/>
          <w:szCs w:val="28"/>
        </w:rPr>
        <w:t>BioBanking Financial Transaction Security System</w:t>
      </w:r>
    </w:p>
    <w:p w:rsidR="00D34C1C" w:rsidRDefault="00D34C1C" w:rsidP="00D34C1C">
      <w:pPr>
        <w:jc w:val="center"/>
        <w:rPr>
          <w:rFonts w:ascii="Times New Roman" w:hAnsi="Times New Roman" w:cs="Times New Roman"/>
          <w:sz w:val="28"/>
          <w:szCs w:val="28"/>
        </w:rPr>
      </w:pPr>
      <w:r>
        <w:rPr>
          <w:rFonts w:ascii="Times New Roman" w:hAnsi="Times New Roman" w:cs="Times New Roman"/>
          <w:sz w:val="28"/>
          <w:szCs w:val="28"/>
        </w:rPr>
        <w:t>Watson MegaTech Inc.</w:t>
      </w:r>
    </w:p>
    <w:p w:rsidR="00D34C1C" w:rsidRPr="00D34C1C" w:rsidRDefault="00D34C1C" w:rsidP="00D34C1C">
      <w:pPr>
        <w:jc w:val="center"/>
        <w:rPr>
          <w:rFonts w:ascii="Times New Roman" w:hAnsi="Times New Roman" w:cs="Times New Roman"/>
          <w:i/>
          <w:sz w:val="24"/>
          <w:szCs w:val="24"/>
        </w:rPr>
      </w:pPr>
      <w:r w:rsidRPr="00D34C1C">
        <w:rPr>
          <w:rFonts w:ascii="Times New Roman" w:hAnsi="Times New Roman" w:cs="Times New Roman"/>
          <w:i/>
          <w:sz w:val="24"/>
          <w:szCs w:val="24"/>
        </w:rPr>
        <w:t>Chad Watson President and CEO</w:t>
      </w:r>
    </w:p>
    <w:p w:rsidR="00D34C1C" w:rsidRDefault="00D34C1C" w:rsidP="00D34C1C"/>
    <w:p w:rsidR="00D34C1C" w:rsidRDefault="00D34C1C" w:rsidP="00D34C1C"/>
    <w:p w:rsidR="00D34C1C" w:rsidRDefault="00D34C1C" w:rsidP="00D34C1C"/>
    <w:p w:rsidR="00D34C1C" w:rsidRDefault="00D34C1C" w:rsidP="00D34C1C"/>
    <w:p w:rsidR="00D34C1C" w:rsidRDefault="00D34C1C" w:rsidP="00D34C1C">
      <w:pPr>
        <w:rPr>
          <w:rFonts w:asciiTheme="majorHAnsi" w:eastAsiaTheme="majorEastAsia" w:hAnsiTheme="majorHAnsi" w:cstheme="majorBidi"/>
          <w:b/>
          <w:bCs/>
          <w:color w:val="365F91" w:themeColor="accent1" w:themeShade="BF"/>
          <w:sz w:val="28"/>
          <w:szCs w:val="28"/>
        </w:rPr>
      </w:pPr>
      <w:r>
        <w:br w:type="page"/>
      </w:r>
    </w:p>
    <w:p w:rsidR="00924A4C" w:rsidRDefault="00924A4C" w:rsidP="00C4429C">
      <w:pPr>
        <w:pStyle w:val="Heading1"/>
      </w:pPr>
      <w:r>
        <w:lastRenderedPageBreak/>
        <w:t>Target Market</w:t>
      </w:r>
    </w:p>
    <w:p w:rsidR="004D35ED" w:rsidRDefault="00C4429C" w:rsidP="004D35ED">
      <w:pPr>
        <w:ind w:firstLine="270"/>
        <w:rPr>
          <w:rFonts w:ascii="Times New Roman" w:hAnsi="Times New Roman" w:cs="Times New Roman"/>
          <w:sz w:val="24"/>
          <w:szCs w:val="24"/>
        </w:rPr>
      </w:pPr>
      <w:r>
        <w:rPr>
          <w:rFonts w:ascii="Times New Roman" w:hAnsi="Times New Roman" w:cs="Times New Roman"/>
          <w:sz w:val="24"/>
          <w:szCs w:val="24"/>
        </w:rPr>
        <w:t>BioBanking is a revolutionary approach to minimize fraud and identity theft that affects consumers and companies alike. Financial crimes are at epidemic proportions and many organizations must come together to put an end to this heinous invasion of the financial markets.</w:t>
      </w:r>
    </w:p>
    <w:p w:rsidR="00C4429C" w:rsidRPr="00C4429C" w:rsidRDefault="00C4429C" w:rsidP="004D35ED">
      <w:pPr>
        <w:ind w:firstLine="270"/>
        <w:rPr>
          <w:rFonts w:ascii="Times New Roman" w:hAnsi="Times New Roman" w:cs="Times New Roman"/>
          <w:sz w:val="24"/>
          <w:szCs w:val="24"/>
        </w:rPr>
      </w:pPr>
      <w:r>
        <w:rPr>
          <w:rFonts w:ascii="Times New Roman" w:hAnsi="Times New Roman" w:cs="Times New Roman"/>
          <w:sz w:val="24"/>
          <w:szCs w:val="24"/>
        </w:rPr>
        <w:t xml:space="preserve">There are many points of invasion of the financial system. Many of these invasion points involve activity by individuals. It is this human vulnerability that BioBanking seeks to influence and stop. Many things like identity theft, money laundering, and terrorism funding can be significantly reduced with implementation of the BioBanking technology and long-term implementation strategy. </w:t>
      </w:r>
    </w:p>
    <w:p w:rsidR="00E656CF" w:rsidRDefault="00E656CF" w:rsidP="00C4429C">
      <w:pPr>
        <w:pStyle w:val="Heading2"/>
      </w:pPr>
      <w:r>
        <w:t xml:space="preserve">Identity Theft </w:t>
      </w:r>
      <w:r w:rsidR="00A945A0">
        <w:t xml:space="preserve">and Fraud </w:t>
      </w:r>
      <w:r>
        <w:t>Epidemic</w:t>
      </w:r>
    </w:p>
    <w:p w:rsidR="00E656CF" w:rsidRDefault="00E656CF" w:rsidP="00E656CF">
      <w:pPr>
        <w:rPr>
          <w:rFonts w:ascii="Times New Roman" w:hAnsi="Times New Roman" w:cs="Times New Roman"/>
          <w:sz w:val="24"/>
          <w:szCs w:val="24"/>
        </w:rPr>
      </w:pPr>
      <w:r w:rsidRPr="00E656CF">
        <w:rPr>
          <w:rFonts w:ascii="Times New Roman" w:hAnsi="Times New Roman" w:cs="Times New Roman"/>
          <w:sz w:val="24"/>
          <w:szCs w:val="24"/>
        </w:rPr>
        <w:t>Identity theft has been the number one reported consumer crime over the last five years according to the Center for Identity Management and Information Protection</w:t>
      </w:r>
      <w:r>
        <w:rPr>
          <w:rFonts w:ascii="Times New Roman" w:hAnsi="Times New Roman" w:cs="Times New Roman"/>
          <w:sz w:val="24"/>
          <w:szCs w:val="24"/>
        </w:rPr>
        <w:t xml:space="preserve"> (CIMIP)</w:t>
      </w:r>
      <w:r w:rsidRPr="00E656CF">
        <w:rPr>
          <w:rFonts w:ascii="Times New Roman" w:hAnsi="Times New Roman" w:cs="Times New Roman"/>
          <w:sz w:val="24"/>
          <w:szCs w:val="24"/>
        </w:rPr>
        <w:t xml:space="preserve">. </w:t>
      </w:r>
      <w:r>
        <w:rPr>
          <w:rFonts w:ascii="Times New Roman" w:hAnsi="Times New Roman" w:cs="Times New Roman"/>
          <w:sz w:val="24"/>
          <w:szCs w:val="24"/>
        </w:rPr>
        <w:t xml:space="preserve">The CIMIP uses data from the Federal Trade Commission (FTC) Consumer Sentinel Network (CSN) to track cases of identity theft among the many consumer complaints. Figure 1 shows the total </w:t>
      </w:r>
      <w:r w:rsidR="00965ECE">
        <w:rPr>
          <w:rFonts w:ascii="Times New Roman" w:hAnsi="Times New Roman" w:cs="Times New Roman"/>
          <w:sz w:val="24"/>
          <w:szCs w:val="24"/>
        </w:rPr>
        <w:t>identity theft</w:t>
      </w:r>
      <w:r>
        <w:rPr>
          <w:rFonts w:ascii="Times New Roman" w:hAnsi="Times New Roman" w:cs="Times New Roman"/>
          <w:sz w:val="24"/>
          <w:szCs w:val="24"/>
        </w:rPr>
        <w:t xml:space="preserve"> </w:t>
      </w:r>
      <w:r w:rsidR="00A945A0">
        <w:rPr>
          <w:rFonts w:ascii="Times New Roman" w:hAnsi="Times New Roman" w:cs="Times New Roman"/>
          <w:sz w:val="24"/>
          <w:szCs w:val="24"/>
        </w:rPr>
        <w:t xml:space="preserve">and consumer fraud </w:t>
      </w:r>
      <w:r w:rsidR="00A945A0" w:rsidRPr="00A945A0">
        <w:rPr>
          <w:rFonts w:ascii="Times New Roman" w:hAnsi="Times New Roman" w:cs="Times New Roman"/>
          <w:sz w:val="24"/>
          <w:szCs w:val="24"/>
        </w:rPr>
        <w:t xml:space="preserve">complaints </w:t>
      </w:r>
      <w:r w:rsidR="00965ECE">
        <w:rPr>
          <w:rFonts w:ascii="Times New Roman" w:hAnsi="Times New Roman" w:cs="Times New Roman"/>
          <w:sz w:val="24"/>
          <w:szCs w:val="24"/>
        </w:rPr>
        <w:t>reported</w:t>
      </w:r>
      <w:r>
        <w:rPr>
          <w:rFonts w:ascii="Times New Roman" w:hAnsi="Times New Roman" w:cs="Times New Roman"/>
          <w:sz w:val="24"/>
          <w:szCs w:val="24"/>
        </w:rPr>
        <w:t xml:space="preserve"> over the last five years.</w:t>
      </w:r>
    </w:p>
    <w:tbl>
      <w:tblPr>
        <w:tblW w:w="6960" w:type="dxa"/>
        <w:jc w:val="center"/>
        <w:tblLook w:val="04A0" w:firstRow="1" w:lastRow="0" w:firstColumn="1" w:lastColumn="0" w:noHBand="0" w:noVBand="1"/>
      </w:tblPr>
      <w:tblGrid>
        <w:gridCol w:w="703"/>
        <w:gridCol w:w="3641"/>
        <w:gridCol w:w="2656"/>
      </w:tblGrid>
      <w:tr w:rsidR="006C1203" w:rsidRPr="006C1203" w:rsidTr="006C1203">
        <w:trPr>
          <w:trHeight w:val="375"/>
          <w:jc w:val="center"/>
        </w:trPr>
        <w:tc>
          <w:tcPr>
            <w:tcW w:w="6960" w:type="dxa"/>
            <w:gridSpan w:val="3"/>
            <w:noWrap/>
            <w:hideMark/>
          </w:tcPr>
          <w:p w:rsidR="006C1203" w:rsidRPr="006C1203" w:rsidRDefault="006C1203" w:rsidP="006C1203">
            <w:pPr>
              <w:spacing w:before="100" w:beforeAutospacing="1" w:after="0" w:line="240" w:lineRule="auto"/>
              <w:jc w:val="center"/>
              <w:rPr>
                <w:rFonts w:ascii="Times New Roman" w:eastAsia="Times New Roman" w:hAnsi="Times New Roman" w:cs="Times New Roman"/>
                <w:color w:val="004B91"/>
                <w:sz w:val="24"/>
                <w:szCs w:val="24"/>
              </w:rPr>
            </w:pPr>
            <w:r w:rsidRPr="006C1203">
              <w:rPr>
                <w:rFonts w:ascii="Calibri" w:eastAsia="Times New Roman" w:hAnsi="Calibri" w:cs="Calibri"/>
                <w:b/>
                <w:bCs/>
                <w:color w:val="000000"/>
                <w:sz w:val="24"/>
                <w:szCs w:val="24"/>
              </w:rPr>
              <w:t xml:space="preserve">Federal Trade Commission </w:t>
            </w:r>
          </w:p>
        </w:tc>
      </w:tr>
      <w:tr w:rsidR="006C1203" w:rsidRPr="006C1203" w:rsidTr="006C1203">
        <w:trPr>
          <w:trHeight w:val="375"/>
          <w:jc w:val="center"/>
        </w:trPr>
        <w:tc>
          <w:tcPr>
            <w:tcW w:w="6960" w:type="dxa"/>
            <w:gridSpan w:val="3"/>
            <w:noWrap/>
            <w:hideMark/>
          </w:tcPr>
          <w:p w:rsidR="006C1203" w:rsidRPr="006C1203" w:rsidRDefault="006C1203" w:rsidP="006C1203">
            <w:pPr>
              <w:spacing w:before="100" w:beforeAutospacing="1" w:after="0" w:line="240" w:lineRule="auto"/>
              <w:jc w:val="center"/>
              <w:rPr>
                <w:rFonts w:ascii="Times New Roman" w:eastAsia="Times New Roman" w:hAnsi="Times New Roman" w:cs="Times New Roman"/>
                <w:color w:val="004B91"/>
                <w:sz w:val="24"/>
                <w:szCs w:val="24"/>
              </w:rPr>
            </w:pPr>
            <w:r w:rsidRPr="006C1203">
              <w:rPr>
                <w:rFonts w:ascii="Calibri" w:eastAsia="Times New Roman" w:hAnsi="Calibri" w:cs="Calibri"/>
                <w:b/>
                <w:bCs/>
                <w:color w:val="000000"/>
                <w:sz w:val="24"/>
                <w:szCs w:val="24"/>
              </w:rPr>
              <w:t>Consumer Sentinel Network Data Book Report</w:t>
            </w:r>
          </w:p>
        </w:tc>
      </w:tr>
      <w:tr w:rsidR="006C1203" w:rsidRPr="006C1203" w:rsidTr="006C1203">
        <w:trPr>
          <w:trHeight w:val="300"/>
          <w:jc w:val="center"/>
        </w:trPr>
        <w:tc>
          <w:tcPr>
            <w:tcW w:w="663" w:type="dxa"/>
            <w:tcBorders>
              <w:top w:val="nil"/>
              <w:left w:val="nil"/>
              <w:bottom w:val="nil"/>
              <w:right w:val="single" w:sz="4" w:space="0" w:color="FFFFFF"/>
            </w:tcBorders>
            <w:shd w:val="clear" w:color="auto" w:fill="4F81BD"/>
            <w:noWrap/>
            <w:hideMark/>
          </w:tcPr>
          <w:p w:rsidR="006C1203" w:rsidRPr="006C1203" w:rsidRDefault="006C1203" w:rsidP="006C1203">
            <w:pPr>
              <w:spacing w:before="100" w:beforeAutospacing="1" w:after="0" w:line="240" w:lineRule="auto"/>
              <w:jc w:val="center"/>
              <w:rPr>
                <w:rFonts w:ascii="Times New Roman" w:eastAsia="Times New Roman" w:hAnsi="Times New Roman" w:cs="Times New Roman"/>
                <w:color w:val="004B91"/>
                <w:sz w:val="24"/>
                <w:szCs w:val="24"/>
              </w:rPr>
            </w:pPr>
            <w:r w:rsidRPr="006C1203">
              <w:rPr>
                <w:rFonts w:ascii="Calibri" w:eastAsia="Times New Roman" w:hAnsi="Calibri" w:cs="Calibri"/>
                <w:b/>
                <w:bCs/>
                <w:color w:val="FFFFFF"/>
                <w:sz w:val="24"/>
                <w:szCs w:val="24"/>
              </w:rPr>
              <w:t>Year</w:t>
            </w:r>
          </w:p>
        </w:tc>
        <w:tc>
          <w:tcPr>
            <w:tcW w:w="3641" w:type="dxa"/>
            <w:shd w:val="clear" w:color="auto" w:fill="4F81BD"/>
            <w:hideMark/>
          </w:tcPr>
          <w:p w:rsidR="006C1203" w:rsidRPr="006C1203" w:rsidRDefault="006C1203" w:rsidP="006C1203">
            <w:pPr>
              <w:spacing w:before="100" w:beforeAutospacing="1" w:after="0" w:line="240" w:lineRule="auto"/>
              <w:jc w:val="center"/>
              <w:rPr>
                <w:rFonts w:ascii="Times New Roman" w:eastAsia="Times New Roman" w:hAnsi="Times New Roman" w:cs="Times New Roman"/>
                <w:color w:val="004B91"/>
                <w:sz w:val="24"/>
                <w:szCs w:val="24"/>
              </w:rPr>
            </w:pPr>
            <w:r w:rsidRPr="006C1203">
              <w:rPr>
                <w:rFonts w:ascii="Calibri" w:eastAsia="Times New Roman" w:hAnsi="Calibri" w:cs="Calibri"/>
                <w:b/>
                <w:bCs/>
                <w:color w:val="FFFFFF"/>
                <w:sz w:val="24"/>
                <w:szCs w:val="24"/>
              </w:rPr>
              <w:t xml:space="preserve">Fraud and Identity theft Complaints </w:t>
            </w:r>
          </w:p>
        </w:tc>
        <w:tc>
          <w:tcPr>
            <w:tcW w:w="2656" w:type="dxa"/>
            <w:shd w:val="clear" w:color="auto" w:fill="4F81BD"/>
            <w:hideMark/>
          </w:tcPr>
          <w:p w:rsidR="006C1203" w:rsidRPr="006C1203" w:rsidRDefault="006C1203" w:rsidP="006C1203">
            <w:pPr>
              <w:spacing w:before="100" w:beforeAutospacing="1" w:after="0" w:line="240" w:lineRule="auto"/>
              <w:jc w:val="center"/>
              <w:rPr>
                <w:rFonts w:ascii="Times New Roman" w:eastAsia="Times New Roman" w:hAnsi="Times New Roman" w:cs="Times New Roman"/>
                <w:color w:val="004B91"/>
                <w:sz w:val="24"/>
                <w:szCs w:val="24"/>
              </w:rPr>
            </w:pPr>
            <w:r w:rsidRPr="006C1203">
              <w:rPr>
                <w:rFonts w:ascii="Calibri" w:eastAsia="Times New Roman" w:hAnsi="Calibri" w:cs="Calibri"/>
                <w:b/>
                <w:bCs/>
                <w:color w:val="FFFFFF"/>
                <w:sz w:val="24"/>
                <w:szCs w:val="24"/>
              </w:rPr>
              <w:t>Identity Theft Complaints</w:t>
            </w:r>
          </w:p>
        </w:tc>
      </w:tr>
      <w:tr w:rsidR="006C1203" w:rsidRPr="006C1203" w:rsidTr="006C1203">
        <w:trPr>
          <w:trHeight w:val="300"/>
          <w:jc w:val="center"/>
        </w:trPr>
        <w:tc>
          <w:tcPr>
            <w:tcW w:w="663" w:type="dxa"/>
            <w:tcBorders>
              <w:top w:val="single" w:sz="4" w:space="0" w:color="FFFFFF"/>
              <w:left w:val="single" w:sz="4" w:space="0" w:color="FFFFFF"/>
              <w:bottom w:val="single" w:sz="4" w:space="0" w:color="FFFFFF"/>
              <w:right w:val="single" w:sz="4" w:space="0" w:color="FFFFFF"/>
            </w:tcBorders>
            <w:shd w:val="clear" w:color="auto" w:fill="B8CCE4"/>
            <w:noWrap/>
            <w:hideMark/>
          </w:tcPr>
          <w:p w:rsidR="006C1203" w:rsidRPr="006C1203" w:rsidRDefault="006C1203" w:rsidP="006C1203">
            <w:pPr>
              <w:spacing w:before="100" w:beforeAutospacing="1" w:after="0" w:line="240" w:lineRule="auto"/>
              <w:jc w:val="right"/>
              <w:rPr>
                <w:rFonts w:ascii="Times New Roman" w:eastAsia="Times New Roman" w:hAnsi="Times New Roman" w:cs="Times New Roman"/>
                <w:color w:val="004B91"/>
                <w:sz w:val="24"/>
                <w:szCs w:val="24"/>
              </w:rPr>
            </w:pPr>
            <w:r w:rsidRPr="006C1203">
              <w:rPr>
                <w:rFonts w:ascii="Calibri" w:eastAsia="Times New Roman" w:hAnsi="Calibri" w:cs="Calibri"/>
                <w:color w:val="000000"/>
                <w:sz w:val="24"/>
                <w:szCs w:val="24"/>
              </w:rPr>
              <w:t>2006</w:t>
            </w:r>
          </w:p>
        </w:tc>
        <w:tc>
          <w:tcPr>
            <w:tcW w:w="3641" w:type="dxa"/>
            <w:tcBorders>
              <w:top w:val="single" w:sz="4" w:space="0" w:color="FFFFFF"/>
              <w:left w:val="nil"/>
              <w:bottom w:val="single" w:sz="4" w:space="0" w:color="FFFFFF"/>
              <w:right w:val="single" w:sz="4" w:space="0" w:color="FFFFFF"/>
            </w:tcBorders>
            <w:shd w:val="clear" w:color="auto" w:fill="B8CCE4"/>
            <w:noWrap/>
            <w:hideMark/>
          </w:tcPr>
          <w:p w:rsidR="006C1203" w:rsidRPr="006C1203" w:rsidRDefault="006C1203" w:rsidP="006C1203">
            <w:pPr>
              <w:spacing w:before="100" w:beforeAutospacing="1" w:after="0" w:line="240" w:lineRule="auto"/>
              <w:jc w:val="center"/>
              <w:rPr>
                <w:rFonts w:ascii="Times New Roman" w:eastAsia="Times New Roman" w:hAnsi="Times New Roman" w:cs="Times New Roman"/>
                <w:color w:val="004B91"/>
                <w:sz w:val="24"/>
                <w:szCs w:val="24"/>
              </w:rPr>
            </w:pPr>
            <w:r w:rsidRPr="006C1203">
              <w:rPr>
                <w:rFonts w:ascii="Calibri" w:eastAsia="Times New Roman" w:hAnsi="Calibri" w:cs="Calibri"/>
                <w:color w:val="000000"/>
                <w:sz w:val="24"/>
                <w:szCs w:val="24"/>
              </w:rPr>
              <w:t xml:space="preserve">670,000 </w:t>
            </w:r>
          </w:p>
        </w:tc>
        <w:tc>
          <w:tcPr>
            <w:tcW w:w="2656" w:type="dxa"/>
            <w:tcBorders>
              <w:top w:val="single" w:sz="4" w:space="0" w:color="FFFFFF"/>
              <w:left w:val="nil"/>
              <w:bottom w:val="single" w:sz="4" w:space="0" w:color="FFFFFF"/>
              <w:right w:val="single" w:sz="4" w:space="0" w:color="FFFFFF"/>
            </w:tcBorders>
            <w:shd w:val="clear" w:color="auto" w:fill="B8CCE4"/>
            <w:noWrap/>
            <w:hideMark/>
          </w:tcPr>
          <w:p w:rsidR="006C1203" w:rsidRPr="006C1203" w:rsidRDefault="006C1203" w:rsidP="006C1203">
            <w:pPr>
              <w:spacing w:before="100" w:beforeAutospacing="1" w:after="0" w:line="240" w:lineRule="auto"/>
              <w:jc w:val="center"/>
              <w:rPr>
                <w:rFonts w:ascii="Times New Roman" w:eastAsia="Times New Roman" w:hAnsi="Times New Roman" w:cs="Times New Roman"/>
                <w:color w:val="004B91"/>
                <w:sz w:val="24"/>
                <w:szCs w:val="24"/>
              </w:rPr>
            </w:pPr>
            <w:r w:rsidRPr="006C1203">
              <w:rPr>
                <w:rFonts w:ascii="Calibri" w:eastAsia="Times New Roman" w:hAnsi="Calibri" w:cs="Calibri"/>
                <w:color w:val="000000"/>
                <w:sz w:val="24"/>
                <w:szCs w:val="24"/>
              </w:rPr>
              <w:t xml:space="preserve">241,200 </w:t>
            </w:r>
          </w:p>
        </w:tc>
      </w:tr>
      <w:tr w:rsidR="006C1203" w:rsidRPr="006C1203" w:rsidTr="006C1203">
        <w:trPr>
          <w:trHeight w:val="300"/>
          <w:jc w:val="center"/>
        </w:trPr>
        <w:tc>
          <w:tcPr>
            <w:tcW w:w="663" w:type="dxa"/>
            <w:tcBorders>
              <w:top w:val="nil"/>
              <w:left w:val="single" w:sz="4" w:space="0" w:color="FFFFFF"/>
              <w:bottom w:val="single" w:sz="4" w:space="0" w:color="FFFFFF"/>
              <w:right w:val="single" w:sz="4" w:space="0" w:color="FFFFFF"/>
            </w:tcBorders>
            <w:shd w:val="clear" w:color="auto" w:fill="DBE5F1"/>
            <w:noWrap/>
            <w:hideMark/>
          </w:tcPr>
          <w:p w:rsidR="006C1203" w:rsidRPr="006C1203" w:rsidRDefault="006C1203" w:rsidP="006C1203">
            <w:pPr>
              <w:spacing w:before="100" w:beforeAutospacing="1" w:after="0" w:line="240" w:lineRule="auto"/>
              <w:jc w:val="right"/>
              <w:rPr>
                <w:rFonts w:ascii="Times New Roman" w:eastAsia="Times New Roman" w:hAnsi="Times New Roman" w:cs="Times New Roman"/>
                <w:color w:val="004B91"/>
                <w:sz w:val="24"/>
                <w:szCs w:val="24"/>
              </w:rPr>
            </w:pPr>
            <w:r w:rsidRPr="006C1203">
              <w:rPr>
                <w:rFonts w:ascii="Calibri" w:eastAsia="Times New Roman" w:hAnsi="Calibri" w:cs="Calibri"/>
                <w:color w:val="000000"/>
                <w:sz w:val="24"/>
                <w:szCs w:val="24"/>
              </w:rPr>
              <w:t>2007</w:t>
            </w:r>
          </w:p>
        </w:tc>
        <w:tc>
          <w:tcPr>
            <w:tcW w:w="3641" w:type="dxa"/>
            <w:tcBorders>
              <w:top w:val="nil"/>
              <w:left w:val="nil"/>
              <w:bottom w:val="single" w:sz="4" w:space="0" w:color="FFFFFF"/>
              <w:right w:val="single" w:sz="4" w:space="0" w:color="FFFFFF"/>
            </w:tcBorders>
            <w:shd w:val="clear" w:color="auto" w:fill="DBE5F1"/>
            <w:noWrap/>
            <w:hideMark/>
          </w:tcPr>
          <w:p w:rsidR="006C1203" w:rsidRPr="006C1203" w:rsidRDefault="006C1203" w:rsidP="006C1203">
            <w:pPr>
              <w:spacing w:before="100" w:beforeAutospacing="1" w:after="0" w:line="240" w:lineRule="auto"/>
              <w:jc w:val="center"/>
              <w:rPr>
                <w:rFonts w:ascii="Times New Roman" w:eastAsia="Times New Roman" w:hAnsi="Times New Roman" w:cs="Times New Roman"/>
                <w:color w:val="004B91"/>
                <w:sz w:val="24"/>
                <w:szCs w:val="24"/>
              </w:rPr>
            </w:pPr>
            <w:r w:rsidRPr="006C1203">
              <w:rPr>
                <w:rFonts w:ascii="Calibri" w:eastAsia="Times New Roman" w:hAnsi="Calibri" w:cs="Calibri"/>
                <w:color w:val="000000"/>
                <w:sz w:val="24"/>
                <w:szCs w:val="24"/>
              </w:rPr>
              <w:t xml:space="preserve">800,000 </w:t>
            </w:r>
          </w:p>
        </w:tc>
        <w:tc>
          <w:tcPr>
            <w:tcW w:w="2656" w:type="dxa"/>
            <w:tcBorders>
              <w:top w:val="nil"/>
              <w:left w:val="nil"/>
              <w:bottom w:val="single" w:sz="4" w:space="0" w:color="FFFFFF"/>
              <w:right w:val="single" w:sz="4" w:space="0" w:color="FFFFFF"/>
            </w:tcBorders>
            <w:shd w:val="clear" w:color="auto" w:fill="DBE5F1"/>
            <w:noWrap/>
            <w:hideMark/>
          </w:tcPr>
          <w:p w:rsidR="006C1203" w:rsidRPr="006C1203" w:rsidRDefault="006C1203" w:rsidP="006C1203">
            <w:pPr>
              <w:spacing w:before="100" w:beforeAutospacing="1" w:after="0" w:line="240" w:lineRule="auto"/>
              <w:jc w:val="center"/>
              <w:rPr>
                <w:rFonts w:ascii="Times New Roman" w:eastAsia="Times New Roman" w:hAnsi="Times New Roman" w:cs="Times New Roman"/>
                <w:color w:val="004B91"/>
                <w:sz w:val="24"/>
                <w:szCs w:val="24"/>
              </w:rPr>
            </w:pPr>
            <w:r w:rsidRPr="006C1203">
              <w:rPr>
                <w:rFonts w:ascii="Calibri" w:eastAsia="Times New Roman" w:hAnsi="Calibri" w:cs="Calibri"/>
                <w:color w:val="000000"/>
                <w:sz w:val="24"/>
                <w:szCs w:val="24"/>
              </w:rPr>
              <w:t xml:space="preserve">256,000 </w:t>
            </w:r>
          </w:p>
        </w:tc>
      </w:tr>
      <w:tr w:rsidR="006C1203" w:rsidRPr="006C1203" w:rsidTr="006C1203">
        <w:trPr>
          <w:trHeight w:val="300"/>
          <w:jc w:val="center"/>
        </w:trPr>
        <w:tc>
          <w:tcPr>
            <w:tcW w:w="663" w:type="dxa"/>
            <w:tcBorders>
              <w:top w:val="nil"/>
              <w:left w:val="single" w:sz="4" w:space="0" w:color="FFFFFF"/>
              <w:bottom w:val="single" w:sz="4" w:space="0" w:color="FFFFFF"/>
              <w:right w:val="single" w:sz="4" w:space="0" w:color="FFFFFF"/>
            </w:tcBorders>
            <w:shd w:val="clear" w:color="auto" w:fill="B8CCE4"/>
            <w:noWrap/>
            <w:hideMark/>
          </w:tcPr>
          <w:p w:rsidR="006C1203" w:rsidRPr="006C1203" w:rsidRDefault="006C1203" w:rsidP="006C1203">
            <w:pPr>
              <w:spacing w:before="100" w:beforeAutospacing="1" w:after="0" w:line="240" w:lineRule="auto"/>
              <w:jc w:val="right"/>
              <w:rPr>
                <w:rFonts w:ascii="Times New Roman" w:eastAsia="Times New Roman" w:hAnsi="Times New Roman" w:cs="Times New Roman"/>
                <w:color w:val="004B91"/>
                <w:sz w:val="24"/>
                <w:szCs w:val="24"/>
              </w:rPr>
            </w:pPr>
            <w:r w:rsidRPr="006C1203">
              <w:rPr>
                <w:rFonts w:ascii="Calibri" w:eastAsia="Times New Roman" w:hAnsi="Calibri" w:cs="Calibri"/>
                <w:color w:val="000000"/>
                <w:sz w:val="24"/>
                <w:szCs w:val="24"/>
              </w:rPr>
              <w:t>2008</w:t>
            </w:r>
          </w:p>
        </w:tc>
        <w:tc>
          <w:tcPr>
            <w:tcW w:w="3641" w:type="dxa"/>
            <w:tcBorders>
              <w:top w:val="nil"/>
              <w:left w:val="nil"/>
              <w:bottom w:val="single" w:sz="4" w:space="0" w:color="FFFFFF"/>
              <w:right w:val="single" w:sz="4" w:space="0" w:color="FFFFFF"/>
            </w:tcBorders>
            <w:shd w:val="clear" w:color="auto" w:fill="B8CCE4"/>
            <w:noWrap/>
            <w:hideMark/>
          </w:tcPr>
          <w:p w:rsidR="006C1203" w:rsidRPr="006C1203" w:rsidRDefault="006C1203" w:rsidP="006C1203">
            <w:pPr>
              <w:spacing w:before="100" w:beforeAutospacing="1" w:after="0" w:line="240" w:lineRule="auto"/>
              <w:jc w:val="center"/>
              <w:rPr>
                <w:rFonts w:ascii="Times New Roman" w:eastAsia="Times New Roman" w:hAnsi="Times New Roman" w:cs="Times New Roman"/>
                <w:color w:val="004B91"/>
                <w:sz w:val="24"/>
                <w:szCs w:val="24"/>
              </w:rPr>
            </w:pPr>
            <w:r w:rsidRPr="006C1203">
              <w:rPr>
                <w:rFonts w:ascii="Calibri" w:eastAsia="Times New Roman" w:hAnsi="Calibri" w:cs="Calibri"/>
                <w:color w:val="000000"/>
                <w:sz w:val="24"/>
                <w:szCs w:val="24"/>
              </w:rPr>
              <w:t xml:space="preserve">1,200,000 </w:t>
            </w:r>
          </w:p>
        </w:tc>
        <w:tc>
          <w:tcPr>
            <w:tcW w:w="2656" w:type="dxa"/>
            <w:tcBorders>
              <w:top w:val="nil"/>
              <w:left w:val="nil"/>
              <w:bottom w:val="single" w:sz="4" w:space="0" w:color="FFFFFF"/>
              <w:right w:val="single" w:sz="4" w:space="0" w:color="FFFFFF"/>
            </w:tcBorders>
            <w:shd w:val="clear" w:color="auto" w:fill="B8CCE4"/>
            <w:noWrap/>
            <w:hideMark/>
          </w:tcPr>
          <w:p w:rsidR="006C1203" w:rsidRPr="006C1203" w:rsidRDefault="006C1203" w:rsidP="006C1203">
            <w:pPr>
              <w:spacing w:before="100" w:beforeAutospacing="1" w:after="0" w:line="240" w:lineRule="auto"/>
              <w:jc w:val="center"/>
              <w:rPr>
                <w:rFonts w:ascii="Times New Roman" w:eastAsia="Times New Roman" w:hAnsi="Times New Roman" w:cs="Times New Roman"/>
                <w:color w:val="004B91"/>
                <w:sz w:val="24"/>
                <w:szCs w:val="24"/>
              </w:rPr>
            </w:pPr>
            <w:r w:rsidRPr="006C1203">
              <w:rPr>
                <w:rFonts w:ascii="Calibri" w:eastAsia="Times New Roman" w:hAnsi="Calibri" w:cs="Calibri"/>
                <w:color w:val="000000"/>
                <w:sz w:val="24"/>
                <w:szCs w:val="24"/>
              </w:rPr>
              <w:t xml:space="preserve">312,000 </w:t>
            </w:r>
          </w:p>
        </w:tc>
      </w:tr>
      <w:tr w:rsidR="006C1203" w:rsidRPr="006C1203" w:rsidTr="006C1203">
        <w:trPr>
          <w:trHeight w:val="300"/>
          <w:jc w:val="center"/>
        </w:trPr>
        <w:tc>
          <w:tcPr>
            <w:tcW w:w="663" w:type="dxa"/>
            <w:tcBorders>
              <w:top w:val="nil"/>
              <w:left w:val="single" w:sz="4" w:space="0" w:color="FFFFFF"/>
              <w:bottom w:val="single" w:sz="4" w:space="0" w:color="FFFFFF"/>
              <w:right w:val="single" w:sz="4" w:space="0" w:color="FFFFFF"/>
            </w:tcBorders>
            <w:shd w:val="clear" w:color="auto" w:fill="DBE5F1"/>
            <w:noWrap/>
            <w:hideMark/>
          </w:tcPr>
          <w:p w:rsidR="006C1203" w:rsidRPr="006C1203" w:rsidRDefault="006C1203" w:rsidP="006C1203">
            <w:pPr>
              <w:spacing w:before="100" w:beforeAutospacing="1" w:after="0" w:line="240" w:lineRule="auto"/>
              <w:jc w:val="right"/>
              <w:rPr>
                <w:rFonts w:ascii="Times New Roman" w:eastAsia="Times New Roman" w:hAnsi="Times New Roman" w:cs="Times New Roman"/>
                <w:color w:val="004B91"/>
                <w:sz w:val="24"/>
                <w:szCs w:val="24"/>
              </w:rPr>
            </w:pPr>
            <w:r w:rsidRPr="006C1203">
              <w:rPr>
                <w:rFonts w:ascii="Calibri" w:eastAsia="Times New Roman" w:hAnsi="Calibri" w:cs="Calibri"/>
                <w:color w:val="000000"/>
                <w:sz w:val="24"/>
                <w:szCs w:val="24"/>
              </w:rPr>
              <w:t>2009</w:t>
            </w:r>
          </w:p>
        </w:tc>
        <w:tc>
          <w:tcPr>
            <w:tcW w:w="3641" w:type="dxa"/>
            <w:tcBorders>
              <w:top w:val="nil"/>
              <w:left w:val="nil"/>
              <w:bottom w:val="single" w:sz="4" w:space="0" w:color="FFFFFF"/>
              <w:right w:val="single" w:sz="4" w:space="0" w:color="FFFFFF"/>
            </w:tcBorders>
            <w:shd w:val="clear" w:color="auto" w:fill="DBE5F1"/>
            <w:noWrap/>
            <w:hideMark/>
          </w:tcPr>
          <w:p w:rsidR="006C1203" w:rsidRPr="006C1203" w:rsidRDefault="006C1203" w:rsidP="006C1203">
            <w:pPr>
              <w:spacing w:before="100" w:beforeAutospacing="1" w:after="0" w:line="240" w:lineRule="auto"/>
              <w:jc w:val="center"/>
              <w:rPr>
                <w:rFonts w:ascii="Times New Roman" w:eastAsia="Times New Roman" w:hAnsi="Times New Roman" w:cs="Times New Roman"/>
                <w:color w:val="004B91"/>
                <w:sz w:val="24"/>
                <w:szCs w:val="24"/>
              </w:rPr>
            </w:pPr>
            <w:r w:rsidRPr="006C1203">
              <w:rPr>
                <w:rFonts w:ascii="Calibri" w:eastAsia="Times New Roman" w:hAnsi="Calibri" w:cs="Calibri"/>
                <w:color w:val="000000"/>
                <w:sz w:val="24"/>
                <w:szCs w:val="24"/>
              </w:rPr>
              <w:t xml:space="preserve">1,300,000 </w:t>
            </w:r>
          </w:p>
        </w:tc>
        <w:tc>
          <w:tcPr>
            <w:tcW w:w="2656" w:type="dxa"/>
            <w:tcBorders>
              <w:top w:val="nil"/>
              <w:left w:val="nil"/>
              <w:bottom w:val="single" w:sz="4" w:space="0" w:color="FFFFFF"/>
              <w:right w:val="single" w:sz="4" w:space="0" w:color="FFFFFF"/>
            </w:tcBorders>
            <w:shd w:val="clear" w:color="auto" w:fill="DBE5F1"/>
            <w:noWrap/>
            <w:hideMark/>
          </w:tcPr>
          <w:p w:rsidR="006C1203" w:rsidRPr="006C1203" w:rsidRDefault="006C1203" w:rsidP="006C1203">
            <w:pPr>
              <w:spacing w:before="100" w:beforeAutospacing="1" w:after="0" w:line="240" w:lineRule="auto"/>
              <w:jc w:val="center"/>
              <w:rPr>
                <w:rFonts w:ascii="Times New Roman" w:eastAsia="Times New Roman" w:hAnsi="Times New Roman" w:cs="Times New Roman"/>
                <w:color w:val="004B91"/>
                <w:sz w:val="24"/>
                <w:szCs w:val="24"/>
              </w:rPr>
            </w:pPr>
            <w:r w:rsidRPr="006C1203">
              <w:rPr>
                <w:rFonts w:ascii="Calibri" w:eastAsia="Times New Roman" w:hAnsi="Calibri" w:cs="Calibri"/>
                <w:color w:val="000000"/>
                <w:sz w:val="24"/>
                <w:szCs w:val="24"/>
              </w:rPr>
              <w:t xml:space="preserve">273,000 </w:t>
            </w:r>
          </w:p>
        </w:tc>
      </w:tr>
      <w:tr w:rsidR="006C1203" w:rsidRPr="006C1203" w:rsidTr="006C1203">
        <w:trPr>
          <w:trHeight w:val="300"/>
          <w:jc w:val="center"/>
        </w:trPr>
        <w:tc>
          <w:tcPr>
            <w:tcW w:w="663" w:type="dxa"/>
            <w:tcBorders>
              <w:top w:val="nil"/>
              <w:left w:val="single" w:sz="4" w:space="0" w:color="FFFFFF"/>
              <w:bottom w:val="single" w:sz="4" w:space="0" w:color="FFFFFF"/>
              <w:right w:val="single" w:sz="4" w:space="0" w:color="FFFFFF"/>
            </w:tcBorders>
            <w:shd w:val="clear" w:color="auto" w:fill="B8CCE4"/>
            <w:noWrap/>
            <w:hideMark/>
          </w:tcPr>
          <w:p w:rsidR="006C1203" w:rsidRPr="006C1203" w:rsidRDefault="006C1203" w:rsidP="006C1203">
            <w:pPr>
              <w:spacing w:before="100" w:beforeAutospacing="1" w:after="0" w:line="240" w:lineRule="auto"/>
              <w:jc w:val="right"/>
              <w:rPr>
                <w:rFonts w:ascii="Times New Roman" w:eastAsia="Times New Roman" w:hAnsi="Times New Roman" w:cs="Times New Roman"/>
                <w:color w:val="004B91"/>
                <w:sz w:val="24"/>
                <w:szCs w:val="24"/>
              </w:rPr>
            </w:pPr>
            <w:r w:rsidRPr="006C1203">
              <w:rPr>
                <w:rFonts w:ascii="Calibri" w:eastAsia="Times New Roman" w:hAnsi="Calibri" w:cs="Calibri"/>
                <w:color w:val="000000"/>
                <w:sz w:val="24"/>
                <w:szCs w:val="24"/>
              </w:rPr>
              <w:t>2010</w:t>
            </w:r>
          </w:p>
        </w:tc>
        <w:tc>
          <w:tcPr>
            <w:tcW w:w="3641" w:type="dxa"/>
            <w:tcBorders>
              <w:top w:val="nil"/>
              <w:left w:val="nil"/>
              <w:bottom w:val="single" w:sz="4" w:space="0" w:color="FFFFFF"/>
              <w:right w:val="single" w:sz="4" w:space="0" w:color="FFFFFF"/>
            </w:tcBorders>
            <w:shd w:val="clear" w:color="auto" w:fill="B8CCE4"/>
            <w:noWrap/>
            <w:hideMark/>
          </w:tcPr>
          <w:p w:rsidR="006C1203" w:rsidRPr="006C1203" w:rsidRDefault="006C1203" w:rsidP="006C1203">
            <w:pPr>
              <w:spacing w:before="100" w:beforeAutospacing="1" w:after="0" w:line="240" w:lineRule="auto"/>
              <w:jc w:val="center"/>
              <w:rPr>
                <w:rFonts w:ascii="Times New Roman" w:eastAsia="Times New Roman" w:hAnsi="Times New Roman" w:cs="Times New Roman"/>
                <w:color w:val="004B91"/>
                <w:sz w:val="24"/>
                <w:szCs w:val="24"/>
              </w:rPr>
            </w:pPr>
            <w:r w:rsidRPr="006C1203">
              <w:rPr>
                <w:rFonts w:ascii="Calibri" w:eastAsia="Times New Roman" w:hAnsi="Calibri" w:cs="Calibri"/>
                <w:color w:val="000000"/>
                <w:sz w:val="24"/>
                <w:szCs w:val="24"/>
              </w:rPr>
              <w:t xml:space="preserve">1,300,000 </w:t>
            </w:r>
          </w:p>
        </w:tc>
        <w:tc>
          <w:tcPr>
            <w:tcW w:w="2656" w:type="dxa"/>
            <w:tcBorders>
              <w:top w:val="nil"/>
              <w:left w:val="nil"/>
              <w:bottom w:val="single" w:sz="4" w:space="0" w:color="FFFFFF"/>
              <w:right w:val="single" w:sz="4" w:space="0" w:color="FFFFFF"/>
            </w:tcBorders>
            <w:shd w:val="clear" w:color="auto" w:fill="B8CCE4"/>
            <w:noWrap/>
            <w:hideMark/>
          </w:tcPr>
          <w:p w:rsidR="006C1203" w:rsidRPr="006C1203" w:rsidRDefault="006C1203" w:rsidP="006C1203">
            <w:pPr>
              <w:spacing w:before="100" w:beforeAutospacing="1" w:after="0" w:line="240" w:lineRule="auto"/>
              <w:jc w:val="center"/>
              <w:rPr>
                <w:rFonts w:ascii="Times New Roman" w:eastAsia="Times New Roman" w:hAnsi="Times New Roman" w:cs="Times New Roman"/>
                <w:color w:val="004B91"/>
                <w:sz w:val="24"/>
                <w:szCs w:val="24"/>
              </w:rPr>
            </w:pPr>
            <w:r w:rsidRPr="006C1203">
              <w:rPr>
                <w:rFonts w:ascii="Calibri" w:eastAsia="Times New Roman" w:hAnsi="Calibri" w:cs="Calibri"/>
                <w:color w:val="000000"/>
                <w:sz w:val="24"/>
                <w:szCs w:val="24"/>
              </w:rPr>
              <w:t xml:space="preserve">247,000 </w:t>
            </w:r>
          </w:p>
        </w:tc>
      </w:tr>
    </w:tbl>
    <w:p w:rsidR="00E656CF" w:rsidRDefault="006C1203" w:rsidP="00E656CF">
      <w:pPr>
        <w:jc w:val="center"/>
        <w:rPr>
          <w:rFonts w:ascii="Times New Roman" w:hAnsi="Times New Roman" w:cs="Times New Roman"/>
          <w:sz w:val="24"/>
          <w:szCs w:val="24"/>
        </w:rPr>
      </w:pPr>
      <w:r w:rsidRPr="006C1203">
        <w:rPr>
          <w:rFonts w:ascii="Times New Roman" w:hAnsi="Times New Roman" w:cs="Times New Roman"/>
          <w:b/>
          <w:sz w:val="24"/>
          <w:szCs w:val="24"/>
        </w:rPr>
        <w:t>Figure 1: FTC CSN Reported Identity Theft</w:t>
      </w:r>
    </w:p>
    <w:p w:rsidR="006C1203" w:rsidRDefault="00965ECE" w:rsidP="006C1203">
      <w:pPr>
        <w:rPr>
          <w:rFonts w:ascii="Times New Roman" w:hAnsi="Times New Roman" w:cs="Times New Roman"/>
          <w:sz w:val="24"/>
          <w:szCs w:val="24"/>
        </w:rPr>
      </w:pPr>
      <w:r>
        <w:rPr>
          <w:rFonts w:ascii="Times New Roman" w:hAnsi="Times New Roman" w:cs="Times New Roman"/>
          <w:sz w:val="24"/>
          <w:szCs w:val="24"/>
        </w:rPr>
        <w:t>Out of this total number of complaints</w:t>
      </w:r>
      <w:r w:rsidR="00A945A0">
        <w:rPr>
          <w:rFonts w:ascii="Times New Roman" w:hAnsi="Times New Roman" w:cs="Times New Roman"/>
          <w:sz w:val="24"/>
          <w:szCs w:val="24"/>
        </w:rPr>
        <w:t xml:space="preserve"> a large percentage relate directly to bank cards, consumer loans, and government document/benefits fraud. All of these are financial crimes </w:t>
      </w:r>
      <w:r w:rsidR="00C4429C">
        <w:rPr>
          <w:rFonts w:ascii="Times New Roman" w:hAnsi="Times New Roman" w:cs="Times New Roman"/>
          <w:sz w:val="24"/>
          <w:szCs w:val="24"/>
        </w:rPr>
        <w:t xml:space="preserve">and cost consumers or </w:t>
      </w:r>
      <w:r w:rsidR="00802E63">
        <w:rPr>
          <w:rFonts w:ascii="Times New Roman" w:hAnsi="Times New Roman" w:cs="Times New Roman"/>
          <w:sz w:val="24"/>
          <w:szCs w:val="24"/>
        </w:rPr>
        <w:t>company’s</w:t>
      </w:r>
      <w:r w:rsidR="00C4429C">
        <w:rPr>
          <w:rFonts w:ascii="Times New Roman" w:hAnsi="Times New Roman" w:cs="Times New Roman"/>
          <w:sz w:val="24"/>
          <w:szCs w:val="24"/>
        </w:rPr>
        <w:t xml:space="preserve"> money. </w:t>
      </w:r>
    </w:p>
    <w:p w:rsidR="001029F0" w:rsidRDefault="001029F0" w:rsidP="006C1203">
      <w:pPr>
        <w:rPr>
          <w:rFonts w:ascii="Times New Roman" w:hAnsi="Times New Roman" w:cs="Times New Roman"/>
          <w:sz w:val="24"/>
          <w:szCs w:val="24"/>
        </w:rPr>
      </w:pPr>
      <w:r>
        <w:rPr>
          <w:rFonts w:ascii="Times New Roman" w:hAnsi="Times New Roman" w:cs="Times New Roman"/>
          <w:sz w:val="24"/>
          <w:szCs w:val="24"/>
        </w:rPr>
        <w:t xml:space="preserve">Another key area of fraud involving individuals is money laundering. This includes both the organized crime element and for terrorist activities. In money laundering cases there is usually an individual or group of individuals completing legitimate transactions of ill-gotten money. To combat </w:t>
      </w:r>
      <w:r w:rsidR="00802E63">
        <w:rPr>
          <w:rFonts w:ascii="Times New Roman" w:hAnsi="Times New Roman" w:cs="Times New Roman"/>
          <w:sz w:val="24"/>
          <w:szCs w:val="24"/>
        </w:rPr>
        <w:t>this</w:t>
      </w:r>
      <w:r>
        <w:rPr>
          <w:rFonts w:ascii="Times New Roman" w:hAnsi="Times New Roman" w:cs="Times New Roman"/>
          <w:sz w:val="24"/>
          <w:szCs w:val="24"/>
        </w:rPr>
        <w:t xml:space="preserve"> transactions must be controlled and accounted for at the individual level.</w:t>
      </w:r>
      <w:sdt>
        <w:sdtPr>
          <w:rPr>
            <w:rFonts w:ascii="Times New Roman" w:hAnsi="Times New Roman" w:cs="Times New Roman"/>
            <w:sz w:val="24"/>
            <w:szCs w:val="24"/>
          </w:rPr>
          <w:id w:val="953517164"/>
          <w:citation/>
        </w:sdtPr>
        <w:sdtEndPr/>
        <w:sdtContent>
          <w:r w:rsidR="007704FA">
            <w:rPr>
              <w:rFonts w:ascii="Times New Roman" w:hAnsi="Times New Roman" w:cs="Times New Roman"/>
              <w:sz w:val="24"/>
              <w:szCs w:val="24"/>
            </w:rPr>
            <w:fldChar w:fldCharType="begin"/>
          </w:r>
          <w:r w:rsidR="007704FA">
            <w:rPr>
              <w:rFonts w:ascii="Times New Roman" w:hAnsi="Times New Roman" w:cs="Times New Roman"/>
              <w:sz w:val="24"/>
              <w:szCs w:val="24"/>
            </w:rPr>
            <w:instrText xml:space="preserve"> CITATION Gor03 \l 1033 </w:instrText>
          </w:r>
          <w:r w:rsidR="007704FA">
            <w:rPr>
              <w:rFonts w:ascii="Times New Roman" w:hAnsi="Times New Roman" w:cs="Times New Roman"/>
              <w:sz w:val="24"/>
              <w:szCs w:val="24"/>
            </w:rPr>
            <w:fldChar w:fldCharType="separate"/>
          </w:r>
          <w:r w:rsidR="007704FA">
            <w:rPr>
              <w:rFonts w:ascii="Times New Roman" w:hAnsi="Times New Roman" w:cs="Times New Roman"/>
              <w:noProof/>
              <w:sz w:val="24"/>
              <w:szCs w:val="24"/>
            </w:rPr>
            <w:t xml:space="preserve"> </w:t>
          </w:r>
          <w:r w:rsidR="007704FA" w:rsidRPr="007704FA">
            <w:rPr>
              <w:rFonts w:ascii="Times New Roman" w:hAnsi="Times New Roman" w:cs="Times New Roman"/>
              <w:noProof/>
              <w:sz w:val="24"/>
              <w:szCs w:val="24"/>
            </w:rPr>
            <w:t>(Gordon &amp; Wilcox, 2003)</w:t>
          </w:r>
          <w:r w:rsidR="007704FA">
            <w:rPr>
              <w:rFonts w:ascii="Times New Roman" w:hAnsi="Times New Roman" w:cs="Times New Roman"/>
              <w:sz w:val="24"/>
              <w:szCs w:val="24"/>
            </w:rPr>
            <w:fldChar w:fldCharType="end"/>
          </w:r>
        </w:sdtContent>
      </w:sdt>
    </w:p>
    <w:p w:rsidR="001029F0" w:rsidRDefault="001029F0" w:rsidP="001029F0">
      <w:pPr>
        <w:pStyle w:val="Heading2"/>
      </w:pPr>
      <w:r>
        <w:t>BioBanking in the Financial Sector</w:t>
      </w:r>
    </w:p>
    <w:p w:rsidR="001029F0" w:rsidRDefault="001029F0" w:rsidP="006C1203">
      <w:pPr>
        <w:rPr>
          <w:rFonts w:ascii="Times New Roman" w:hAnsi="Times New Roman" w:cs="Times New Roman"/>
          <w:sz w:val="24"/>
          <w:szCs w:val="24"/>
        </w:rPr>
      </w:pPr>
      <w:r>
        <w:rPr>
          <w:rFonts w:ascii="Times New Roman" w:hAnsi="Times New Roman" w:cs="Times New Roman"/>
          <w:sz w:val="24"/>
          <w:szCs w:val="24"/>
        </w:rPr>
        <w:t xml:space="preserve">Control of financial transactions at the individual level is where a technology like BioBanking can really make an impact. </w:t>
      </w:r>
      <w:r w:rsidR="005038B4">
        <w:rPr>
          <w:rFonts w:ascii="Times New Roman" w:hAnsi="Times New Roman" w:cs="Times New Roman"/>
          <w:sz w:val="24"/>
          <w:szCs w:val="24"/>
        </w:rPr>
        <w:t xml:space="preserve">The use of individually coded biometric devices to authenticate, </w:t>
      </w:r>
      <w:r w:rsidR="005038B4">
        <w:rPr>
          <w:rFonts w:ascii="Times New Roman" w:hAnsi="Times New Roman" w:cs="Times New Roman"/>
          <w:sz w:val="24"/>
          <w:szCs w:val="24"/>
        </w:rPr>
        <w:lastRenderedPageBreak/>
        <w:t xml:space="preserve">audit, and complete financial transactions will greatly reduce the ability of unscrupulous individuals to perform acts of financial fraud. </w:t>
      </w:r>
    </w:p>
    <w:p w:rsidR="00DB5F5B" w:rsidRDefault="00DB5F5B" w:rsidP="006C1203">
      <w:pPr>
        <w:rPr>
          <w:rFonts w:ascii="Times New Roman" w:hAnsi="Times New Roman" w:cs="Times New Roman"/>
          <w:sz w:val="24"/>
          <w:szCs w:val="24"/>
        </w:rPr>
      </w:pPr>
      <w:r>
        <w:rPr>
          <w:rFonts w:ascii="Times New Roman" w:hAnsi="Times New Roman" w:cs="Times New Roman"/>
          <w:sz w:val="24"/>
          <w:szCs w:val="24"/>
        </w:rPr>
        <w:t xml:space="preserve">The greatest benefit will be to financial institutions </w:t>
      </w:r>
      <w:r w:rsidR="00802E63">
        <w:rPr>
          <w:rFonts w:ascii="Times New Roman" w:hAnsi="Times New Roman" w:cs="Times New Roman"/>
          <w:sz w:val="24"/>
          <w:szCs w:val="24"/>
        </w:rPr>
        <w:t>that</w:t>
      </w:r>
      <w:r>
        <w:rPr>
          <w:rFonts w:ascii="Times New Roman" w:hAnsi="Times New Roman" w:cs="Times New Roman"/>
          <w:sz w:val="24"/>
          <w:szCs w:val="24"/>
        </w:rPr>
        <w:t xml:space="preserve"> are left with the loss in most cases of fraud of any form. </w:t>
      </w:r>
      <w:r w:rsidR="00AF510B">
        <w:rPr>
          <w:rFonts w:ascii="Times New Roman" w:hAnsi="Times New Roman" w:cs="Times New Roman"/>
          <w:sz w:val="24"/>
          <w:szCs w:val="24"/>
        </w:rPr>
        <w:t>Data suggests that fraudulent financial activities cost financial institutions more than $48 billion per year. This is a substantial amount and well worth investing in new technologies to prevent.</w:t>
      </w:r>
    </w:p>
    <w:p w:rsidR="00AF510B" w:rsidRDefault="00AF510B" w:rsidP="00AF510B">
      <w:pPr>
        <w:pStyle w:val="Heading2"/>
      </w:pPr>
      <w:r>
        <w:t>BioBanking for Individual Protection</w:t>
      </w:r>
    </w:p>
    <w:p w:rsidR="00847877" w:rsidRDefault="008D0F29" w:rsidP="00AF510B">
      <w:pPr>
        <w:rPr>
          <w:rFonts w:ascii="Times New Roman" w:hAnsi="Times New Roman" w:cs="Times New Roman"/>
          <w:sz w:val="24"/>
          <w:szCs w:val="24"/>
        </w:rPr>
      </w:pPr>
      <w:r w:rsidRPr="008D0F29">
        <w:rPr>
          <w:rFonts w:ascii="Times New Roman" w:hAnsi="Times New Roman" w:cs="Times New Roman"/>
          <w:sz w:val="24"/>
          <w:szCs w:val="24"/>
        </w:rPr>
        <w:t xml:space="preserve">The </w:t>
      </w:r>
      <w:r w:rsidR="00E42AD9">
        <w:rPr>
          <w:rFonts w:ascii="Times New Roman" w:hAnsi="Times New Roman" w:cs="Times New Roman"/>
          <w:sz w:val="24"/>
          <w:szCs w:val="24"/>
        </w:rPr>
        <w:t xml:space="preserve">second main target market for BioBanking is the individual. Having an identity stolen can be devastating and cause complete upheaval in a person’s life. Getting all their identification papers changed, their accounts closed and reopened, and clearing up their credit reports can take months or years. </w:t>
      </w:r>
      <w:r w:rsidR="00847877">
        <w:rPr>
          <w:rFonts w:ascii="Times New Roman" w:hAnsi="Times New Roman" w:cs="Times New Roman"/>
          <w:sz w:val="24"/>
          <w:szCs w:val="24"/>
        </w:rPr>
        <w:t>There are three main types of identity fraud/theft against and individual:</w:t>
      </w:r>
    </w:p>
    <w:p w:rsidR="00847877" w:rsidRPr="00847877" w:rsidRDefault="00847877" w:rsidP="00847877">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847877">
        <w:rPr>
          <w:rFonts w:ascii="Times New Roman" w:hAnsi="Times New Roman" w:cs="Times New Roman"/>
          <w:b/>
          <w:bCs/>
          <w:sz w:val="24"/>
          <w:szCs w:val="24"/>
        </w:rPr>
        <w:t xml:space="preserve">Identity Theft </w:t>
      </w:r>
      <w:r w:rsidRPr="00847877">
        <w:rPr>
          <w:rFonts w:ascii="Times New Roman" w:hAnsi="Times New Roman" w:cs="Times New Roman"/>
          <w:sz w:val="24"/>
          <w:szCs w:val="24"/>
        </w:rPr>
        <w:t>involves the theft of another</w:t>
      </w:r>
      <w:r>
        <w:rPr>
          <w:rFonts w:ascii="Times New Roman" w:hAnsi="Times New Roman" w:cs="Times New Roman"/>
          <w:sz w:val="24"/>
          <w:szCs w:val="24"/>
        </w:rPr>
        <w:t xml:space="preserve"> </w:t>
      </w:r>
      <w:r w:rsidRPr="00847877">
        <w:rPr>
          <w:rFonts w:ascii="Times New Roman" w:hAnsi="Times New Roman" w:cs="Times New Roman"/>
          <w:sz w:val="24"/>
          <w:szCs w:val="24"/>
        </w:rPr>
        <w:t>person’s personal information specifically for</w:t>
      </w:r>
      <w:r>
        <w:rPr>
          <w:rFonts w:ascii="Times New Roman" w:hAnsi="Times New Roman" w:cs="Times New Roman"/>
          <w:sz w:val="24"/>
          <w:szCs w:val="24"/>
        </w:rPr>
        <w:t xml:space="preserve"> </w:t>
      </w:r>
      <w:r w:rsidRPr="00847877">
        <w:rPr>
          <w:rFonts w:ascii="Times New Roman" w:hAnsi="Times New Roman" w:cs="Times New Roman"/>
          <w:sz w:val="24"/>
          <w:szCs w:val="24"/>
        </w:rPr>
        <w:t>establishing an identity for criminal activity</w:t>
      </w:r>
      <w:r>
        <w:rPr>
          <w:rFonts w:ascii="Times New Roman" w:hAnsi="Times New Roman" w:cs="Times New Roman"/>
          <w:sz w:val="24"/>
          <w:szCs w:val="24"/>
        </w:rPr>
        <w:t xml:space="preserve"> </w:t>
      </w:r>
      <w:r w:rsidRPr="00847877">
        <w:rPr>
          <w:rFonts w:ascii="Times New Roman" w:hAnsi="Times New Roman" w:cs="Times New Roman"/>
          <w:sz w:val="24"/>
          <w:szCs w:val="24"/>
        </w:rPr>
        <w:t>or financial gain.</w:t>
      </w:r>
    </w:p>
    <w:p w:rsidR="00847877" w:rsidRPr="00847877" w:rsidRDefault="00847877" w:rsidP="00847877">
      <w:pPr>
        <w:autoSpaceDE w:val="0"/>
        <w:autoSpaceDN w:val="0"/>
        <w:adjustRightInd w:val="0"/>
        <w:spacing w:after="0" w:line="240" w:lineRule="auto"/>
        <w:ind w:left="360"/>
        <w:rPr>
          <w:rFonts w:ascii="Times New Roman" w:hAnsi="Times New Roman" w:cs="Times New Roman"/>
          <w:sz w:val="24"/>
          <w:szCs w:val="24"/>
        </w:rPr>
      </w:pPr>
    </w:p>
    <w:p w:rsidR="00847877" w:rsidRDefault="00847877" w:rsidP="00847877">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847877">
        <w:rPr>
          <w:rFonts w:ascii="Times New Roman" w:hAnsi="Times New Roman" w:cs="Times New Roman"/>
          <w:b/>
          <w:bCs/>
          <w:sz w:val="24"/>
          <w:szCs w:val="24"/>
        </w:rPr>
        <w:t xml:space="preserve">Account Takeover </w:t>
      </w:r>
      <w:r w:rsidRPr="00847877">
        <w:rPr>
          <w:rFonts w:ascii="Times New Roman" w:hAnsi="Times New Roman" w:cs="Times New Roman"/>
          <w:sz w:val="24"/>
          <w:szCs w:val="24"/>
        </w:rPr>
        <w:t>occurs when a fraudster</w:t>
      </w:r>
      <w:r>
        <w:rPr>
          <w:rFonts w:ascii="Times New Roman" w:hAnsi="Times New Roman" w:cs="Times New Roman"/>
          <w:sz w:val="24"/>
          <w:szCs w:val="24"/>
        </w:rPr>
        <w:t xml:space="preserve"> </w:t>
      </w:r>
      <w:r w:rsidRPr="00847877">
        <w:rPr>
          <w:rFonts w:ascii="Times New Roman" w:hAnsi="Times New Roman" w:cs="Times New Roman"/>
          <w:sz w:val="24"/>
          <w:szCs w:val="24"/>
        </w:rPr>
        <w:t>obtains an individual's personal information</w:t>
      </w:r>
      <w:r>
        <w:rPr>
          <w:rFonts w:ascii="Times New Roman" w:hAnsi="Times New Roman" w:cs="Times New Roman"/>
          <w:sz w:val="24"/>
          <w:szCs w:val="24"/>
        </w:rPr>
        <w:t xml:space="preserve"> </w:t>
      </w:r>
      <w:r w:rsidRPr="00847877">
        <w:rPr>
          <w:rFonts w:ascii="Times New Roman" w:hAnsi="Times New Roman" w:cs="Times New Roman"/>
          <w:sz w:val="24"/>
          <w:szCs w:val="24"/>
        </w:rPr>
        <w:t>(account number and social security</w:t>
      </w:r>
      <w:r>
        <w:rPr>
          <w:rFonts w:ascii="Times New Roman" w:hAnsi="Times New Roman" w:cs="Times New Roman"/>
          <w:sz w:val="24"/>
          <w:szCs w:val="24"/>
        </w:rPr>
        <w:t xml:space="preserve"> </w:t>
      </w:r>
      <w:r w:rsidRPr="00847877">
        <w:rPr>
          <w:rFonts w:ascii="Times New Roman" w:hAnsi="Times New Roman" w:cs="Times New Roman"/>
          <w:sz w:val="24"/>
          <w:szCs w:val="24"/>
        </w:rPr>
        <w:t>number), and then uses that information to</w:t>
      </w:r>
      <w:r>
        <w:rPr>
          <w:rFonts w:ascii="Times New Roman" w:hAnsi="Times New Roman" w:cs="Times New Roman"/>
          <w:sz w:val="24"/>
          <w:szCs w:val="24"/>
        </w:rPr>
        <w:t xml:space="preserve"> </w:t>
      </w:r>
      <w:r w:rsidRPr="00847877">
        <w:rPr>
          <w:rFonts w:ascii="Times New Roman" w:hAnsi="Times New Roman" w:cs="Times New Roman"/>
          <w:sz w:val="24"/>
          <w:szCs w:val="24"/>
        </w:rPr>
        <w:t>change that individual's mailing address with</w:t>
      </w:r>
      <w:r>
        <w:rPr>
          <w:rFonts w:ascii="Times New Roman" w:hAnsi="Times New Roman" w:cs="Times New Roman"/>
          <w:sz w:val="24"/>
          <w:szCs w:val="24"/>
        </w:rPr>
        <w:t xml:space="preserve"> </w:t>
      </w:r>
      <w:r w:rsidRPr="00847877">
        <w:rPr>
          <w:rFonts w:ascii="Times New Roman" w:hAnsi="Times New Roman" w:cs="Times New Roman"/>
          <w:sz w:val="24"/>
          <w:szCs w:val="24"/>
        </w:rPr>
        <w:t>the financial institution. Once this is</w:t>
      </w:r>
      <w:r>
        <w:rPr>
          <w:rFonts w:ascii="Times New Roman" w:hAnsi="Times New Roman" w:cs="Times New Roman"/>
          <w:sz w:val="24"/>
          <w:szCs w:val="24"/>
        </w:rPr>
        <w:t xml:space="preserve"> </w:t>
      </w:r>
      <w:r w:rsidRPr="00847877">
        <w:rPr>
          <w:rFonts w:ascii="Times New Roman" w:hAnsi="Times New Roman" w:cs="Times New Roman"/>
          <w:sz w:val="24"/>
          <w:szCs w:val="24"/>
        </w:rPr>
        <w:t>accomplished, the fraudster can perform</w:t>
      </w:r>
      <w:r>
        <w:rPr>
          <w:rFonts w:ascii="Times New Roman" w:hAnsi="Times New Roman" w:cs="Times New Roman"/>
          <w:sz w:val="24"/>
          <w:szCs w:val="24"/>
        </w:rPr>
        <w:t xml:space="preserve"> </w:t>
      </w:r>
      <w:r w:rsidRPr="00847877">
        <w:rPr>
          <w:rFonts w:ascii="Times New Roman" w:hAnsi="Times New Roman" w:cs="Times New Roman"/>
          <w:sz w:val="24"/>
          <w:szCs w:val="24"/>
        </w:rPr>
        <w:t>transactions without the victim's knowledge.</w:t>
      </w:r>
    </w:p>
    <w:p w:rsidR="00847877" w:rsidRPr="00847877" w:rsidRDefault="00847877" w:rsidP="00847877">
      <w:pPr>
        <w:pStyle w:val="ListParagraph"/>
        <w:rPr>
          <w:rFonts w:ascii="Times New Roman" w:hAnsi="Times New Roman" w:cs="Times New Roman"/>
          <w:sz w:val="24"/>
          <w:szCs w:val="24"/>
        </w:rPr>
      </w:pPr>
    </w:p>
    <w:p w:rsidR="008B5C9F" w:rsidRDefault="00847877" w:rsidP="00847877">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847877">
        <w:rPr>
          <w:rFonts w:ascii="Times New Roman" w:hAnsi="Times New Roman" w:cs="Times New Roman"/>
          <w:b/>
          <w:bCs/>
          <w:sz w:val="24"/>
          <w:szCs w:val="24"/>
        </w:rPr>
        <w:t xml:space="preserve">Transaction Fraud </w:t>
      </w:r>
      <w:r w:rsidRPr="00847877">
        <w:rPr>
          <w:rFonts w:ascii="Times New Roman" w:hAnsi="Times New Roman" w:cs="Times New Roman"/>
          <w:sz w:val="24"/>
          <w:szCs w:val="24"/>
        </w:rPr>
        <w:t>includes schemes that</w:t>
      </w:r>
      <w:r>
        <w:rPr>
          <w:rFonts w:ascii="Times New Roman" w:hAnsi="Times New Roman" w:cs="Times New Roman"/>
          <w:sz w:val="24"/>
          <w:szCs w:val="24"/>
        </w:rPr>
        <w:t xml:space="preserve"> </w:t>
      </w:r>
      <w:r w:rsidRPr="00847877">
        <w:rPr>
          <w:rFonts w:ascii="Times New Roman" w:hAnsi="Times New Roman" w:cs="Times New Roman"/>
          <w:sz w:val="24"/>
          <w:szCs w:val="24"/>
        </w:rPr>
        <w:t>may or may not utilize identity fraud.</w:t>
      </w:r>
      <w:r>
        <w:rPr>
          <w:rFonts w:ascii="Times New Roman" w:hAnsi="Times New Roman" w:cs="Times New Roman"/>
          <w:sz w:val="24"/>
          <w:szCs w:val="24"/>
        </w:rPr>
        <w:t xml:space="preserve"> </w:t>
      </w:r>
      <w:r w:rsidRPr="00847877">
        <w:rPr>
          <w:rFonts w:ascii="Times New Roman" w:hAnsi="Times New Roman" w:cs="Times New Roman"/>
          <w:sz w:val="24"/>
          <w:szCs w:val="24"/>
        </w:rPr>
        <w:t>Examples include: Credit Card Fraud, as</w:t>
      </w:r>
      <w:r>
        <w:rPr>
          <w:rFonts w:ascii="Times New Roman" w:hAnsi="Times New Roman" w:cs="Times New Roman"/>
          <w:sz w:val="24"/>
          <w:szCs w:val="24"/>
        </w:rPr>
        <w:t xml:space="preserve"> </w:t>
      </w:r>
      <w:r w:rsidRPr="00847877">
        <w:rPr>
          <w:rFonts w:ascii="Times New Roman" w:hAnsi="Times New Roman" w:cs="Times New Roman"/>
          <w:sz w:val="24"/>
          <w:szCs w:val="24"/>
        </w:rPr>
        <w:t>when someone uses a credit card account</w:t>
      </w:r>
      <w:r>
        <w:rPr>
          <w:rFonts w:ascii="Times New Roman" w:hAnsi="Times New Roman" w:cs="Times New Roman"/>
          <w:sz w:val="24"/>
          <w:szCs w:val="24"/>
        </w:rPr>
        <w:t xml:space="preserve"> </w:t>
      </w:r>
      <w:r w:rsidRPr="00847877">
        <w:rPr>
          <w:rFonts w:ascii="Times New Roman" w:hAnsi="Times New Roman" w:cs="Times New Roman"/>
          <w:sz w:val="24"/>
          <w:szCs w:val="24"/>
        </w:rPr>
        <w:t>without the intention to pay the bills</w:t>
      </w:r>
      <w:r>
        <w:rPr>
          <w:rFonts w:ascii="Times New Roman" w:hAnsi="Times New Roman" w:cs="Times New Roman"/>
          <w:sz w:val="24"/>
          <w:szCs w:val="24"/>
        </w:rPr>
        <w:t xml:space="preserve"> </w:t>
      </w:r>
      <w:r w:rsidRPr="00847877">
        <w:rPr>
          <w:rFonts w:ascii="Times New Roman" w:hAnsi="Times New Roman" w:cs="Times New Roman"/>
          <w:sz w:val="24"/>
          <w:szCs w:val="24"/>
        </w:rPr>
        <w:t>incurred; Check Fraud, which describes</w:t>
      </w:r>
      <w:r>
        <w:rPr>
          <w:rFonts w:ascii="Times New Roman" w:hAnsi="Times New Roman" w:cs="Times New Roman"/>
          <w:sz w:val="24"/>
          <w:szCs w:val="24"/>
        </w:rPr>
        <w:t xml:space="preserve"> </w:t>
      </w:r>
      <w:r w:rsidRPr="00847877">
        <w:rPr>
          <w:rFonts w:ascii="Times New Roman" w:hAnsi="Times New Roman" w:cs="Times New Roman"/>
          <w:sz w:val="24"/>
          <w:szCs w:val="24"/>
        </w:rPr>
        <w:t>various activities such as check kiting,</w:t>
      </w:r>
      <w:r>
        <w:rPr>
          <w:rFonts w:ascii="Times New Roman" w:hAnsi="Times New Roman" w:cs="Times New Roman"/>
          <w:sz w:val="24"/>
          <w:szCs w:val="24"/>
        </w:rPr>
        <w:t xml:space="preserve"> </w:t>
      </w:r>
      <w:r w:rsidRPr="00847877">
        <w:rPr>
          <w:rFonts w:ascii="Times New Roman" w:hAnsi="Times New Roman" w:cs="Times New Roman"/>
          <w:sz w:val="24"/>
          <w:szCs w:val="24"/>
        </w:rPr>
        <w:t>counterfeiting, forgery and writing checks on</w:t>
      </w:r>
      <w:r>
        <w:rPr>
          <w:rFonts w:ascii="Times New Roman" w:hAnsi="Times New Roman" w:cs="Times New Roman"/>
          <w:sz w:val="24"/>
          <w:szCs w:val="24"/>
        </w:rPr>
        <w:t xml:space="preserve"> </w:t>
      </w:r>
      <w:r w:rsidRPr="00847877">
        <w:rPr>
          <w:rFonts w:ascii="Times New Roman" w:hAnsi="Times New Roman" w:cs="Times New Roman"/>
          <w:sz w:val="24"/>
          <w:szCs w:val="24"/>
        </w:rPr>
        <w:t>closed accounts (paperhanging).</w:t>
      </w:r>
      <w:sdt>
        <w:sdtPr>
          <w:rPr>
            <w:rFonts w:ascii="Times New Roman" w:hAnsi="Times New Roman" w:cs="Times New Roman"/>
            <w:sz w:val="24"/>
            <w:szCs w:val="24"/>
          </w:rPr>
          <w:id w:val="-757202685"/>
          <w:citation/>
        </w:sdtPr>
        <w:sdtEndPr/>
        <w:sdtContent>
          <w:r>
            <w:rPr>
              <w:rFonts w:ascii="Times New Roman" w:hAnsi="Times New Roman" w:cs="Times New Roman"/>
              <w:sz w:val="24"/>
              <w:szCs w:val="24"/>
            </w:rPr>
            <w:fldChar w:fldCharType="begin"/>
          </w:r>
          <w:r>
            <w:rPr>
              <w:rFonts w:ascii="Times New Roman" w:hAnsi="Times New Roman" w:cs="Times New Roman"/>
              <w:sz w:val="24"/>
              <w:szCs w:val="24"/>
            </w:rPr>
            <w:instrText xml:space="preserve"> CITATION Che05 \l 1033 </w:instrText>
          </w:r>
          <w:r>
            <w:rPr>
              <w:rFonts w:ascii="Times New Roman" w:hAnsi="Times New Roman" w:cs="Times New Roman"/>
              <w:sz w:val="24"/>
              <w:szCs w:val="24"/>
            </w:rPr>
            <w:fldChar w:fldCharType="separate"/>
          </w:r>
          <w:r>
            <w:rPr>
              <w:rFonts w:ascii="Times New Roman" w:hAnsi="Times New Roman" w:cs="Times New Roman"/>
              <w:noProof/>
              <w:sz w:val="24"/>
              <w:szCs w:val="24"/>
            </w:rPr>
            <w:t xml:space="preserve"> </w:t>
          </w:r>
          <w:r w:rsidRPr="00847877">
            <w:rPr>
              <w:rFonts w:ascii="Times New Roman" w:hAnsi="Times New Roman" w:cs="Times New Roman"/>
              <w:noProof/>
              <w:sz w:val="24"/>
              <w:szCs w:val="24"/>
            </w:rPr>
            <w:t>(Yaeger, 2005)</w:t>
          </w:r>
          <w:r>
            <w:rPr>
              <w:rFonts w:ascii="Times New Roman" w:hAnsi="Times New Roman" w:cs="Times New Roman"/>
              <w:sz w:val="24"/>
              <w:szCs w:val="24"/>
            </w:rPr>
            <w:fldChar w:fldCharType="end"/>
          </w:r>
        </w:sdtContent>
      </w:sdt>
    </w:p>
    <w:p w:rsidR="008B5C9F" w:rsidRPr="008B5C9F" w:rsidRDefault="008B5C9F" w:rsidP="008B5C9F">
      <w:pPr>
        <w:pStyle w:val="ListParagraph"/>
        <w:rPr>
          <w:rFonts w:ascii="Times New Roman" w:hAnsi="Times New Roman" w:cs="Times New Roman"/>
          <w:sz w:val="24"/>
          <w:szCs w:val="24"/>
        </w:rPr>
      </w:pPr>
    </w:p>
    <w:p w:rsidR="00AF510B" w:rsidRPr="008B5C9F" w:rsidRDefault="008B5C9F" w:rsidP="008B5C9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All of these activities can be combatted with the use of the BioBanking technology. The combination of both biometric authentication and encoded account information make each of these individual fraud</w:t>
      </w:r>
      <w:r w:rsidR="00E42AD9" w:rsidRPr="008B5C9F">
        <w:rPr>
          <w:rFonts w:ascii="Times New Roman" w:hAnsi="Times New Roman" w:cs="Times New Roman"/>
          <w:sz w:val="24"/>
          <w:szCs w:val="24"/>
        </w:rPr>
        <w:t xml:space="preserve"> </w:t>
      </w:r>
      <w:r>
        <w:rPr>
          <w:rFonts w:ascii="Times New Roman" w:hAnsi="Times New Roman" w:cs="Times New Roman"/>
          <w:sz w:val="24"/>
          <w:szCs w:val="24"/>
        </w:rPr>
        <w:t xml:space="preserve">mechanisms obsolete. </w:t>
      </w:r>
    </w:p>
    <w:p w:rsidR="00E656CF" w:rsidRDefault="00E656CF" w:rsidP="001569E5">
      <w:pPr>
        <w:pStyle w:val="Heading1"/>
      </w:pPr>
      <w:r>
        <w:t>Technology Overview</w:t>
      </w:r>
    </w:p>
    <w:p w:rsidR="00E656CF" w:rsidRDefault="001D4AB8" w:rsidP="00E656CF">
      <w:pPr>
        <w:ind w:firstLine="270"/>
        <w:rPr>
          <w:rFonts w:ascii="Times New Roman" w:hAnsi="Times New Roman" w:cs="Times New Roman"/>
          <w:sz w:val="24"/>
          <w:szCs w:val="24"/>
        </w:rPr>
      </w:pPr>
      <w:r>
        <w:rPr>
          <w:rFonts w:ascii="Times New Roman" w:hAnsi="Times New Roman" w:cs="Times New Roman"/>
          <w:sz w:val="24"/>
          <w:szCs w:val="24"/>
        </w:rPr>
        <w:t xml:space="preserve">BioBanking is not a singular technology but is a combination of three key components that can initially overlay the current financial transaction network. The three major components of BioBanking are the Insert, the Active Reader, and the Device Encoder. </w:t>
      </w:r>
      <w:r w:rsidR="00B843EA">
        <w:rPr>
          <w:rFonts w:ascii="Times New Roman" w:hAnsi="Times New Roman" w:cs="Times New Roman"/>
          <w:sz w:val="24"/>
          <w:szCs w:val="24"/>
        </w:rPr>
        <w:t>The insert is the part of the system that represents the greatest technological leap forward in security authentication mechanisms. The reader and encoder a</w:t>
      </w:r>
      <w:r w:rsidR="00A937C5">
        <w:rPr>
          <w:rFonts w:ascii="Times New Roman" w:hAnsi="Times New Roman" w:cs="Times New Roman"/>
          <w:sz w:val="24"/>
          <w:szCs w:val="24"/>
        </w:rPr>
        <w:t>re</w:t>
      </w:r>
      <w:r w:rsidR="00B843EA">
        <w:rPr>
          <w:rFonts w:ascii="Times New Roman" w:hAnsi="Times New Roman" w:cs="Times New Roman"/>
          <w:sz w:val="24"/>
          <w:szCs w:val="24"/>
        </w:rPr>
        <w:t xml:space="preserve"> modification</w:t>
      </w:r>
      <w:r w:rsidR="00A937C5">
        <w:rPr>
          <w:rFonts w:ascii="Times New Roman" w:hAnsi="Times New Roman" w:cs="Times New Roman"/>
          <w:sz w:val="24"/>
          <w:szCs w:val="24"/>
        </w:rPr>
        <w:t>s</w:t>
      </w:r>
      <w:r w:rsidR="00B843EA">
        <w:rPr>
          <w:rFonts w:ascii="Times New Roman" w:hAnsi="Times New Roman" w:cs="Times New Roman"/>
          <w:sz w:val="24"/>
          <w:szCs w:val="24"/>
        </w:rPr>
        <w:t xml:space="preserve"> to existing technologies to try and account for some industry disruption with the new paradigm.</w:t>
      </w:r>
    </w:p>
    <w:p w:rsidR="00A937C5" w:rsidRDefault="00A937C5" w:rsidP="00E656CF">
      <w:pPr>
        <w:ind w:firstLine="270"/>
        <w:rPr>
          <w:rFonts w:ascii="Times New Roman" w:hAnsi="Times New Roman" w:cs="Times New Roman"/>
          <w:sz w:val="24"/>
          <w:szCs w:val="24"/>
        </w:rPr>
      </w:pPr>
      <w:r>
        <w:rPr>
          <w:rFonts w:ascii="Times New Roman" w:hAnsi="Times New Roman" w:cs="Times New Roman"/>
          <w:sz w:val="24"/>
          <w:szCs w:val="24"/>
        </w:rPr>
        <w:lastRenderedPageBreak/>
        <w:t xml:space="preserve">The patented BioBanking Insert is the heart of the system. This is a </w:t>
      </w:r>
      <w:r w:rsidR="007950B7">
        <w:rPr>
          <w:rFonts w:ascii="Times New Roman" w:hAnsi="Times New Roman" w:cs="Times New Roman"/>
          <w:sz w:val="24"/>
          <w:szCs w:val="24"/>
        </w:rPr>
        <w:t>50</w:t>
      </w:r>
      <w:r>
        <w:rPr>
          <w:rFonts w:ascii="Times New Roman" w:hAnsi="Times New Roman" w:cs="Times New Roman"/>
          <w:sz w:val="24"/>
          <w:szCs w:val="24"/>
        </w:rPr>
        <w:t xml:space="preserve"> </w:t>
      </w:r>
      <w:r w:rsidR="007950B7">
        <w:rPr>
          <w:rFonts w:ascii="Times New Roman" w:hAnsi="Times New Roman" w:cs="Times New Roman"/>
          <w:sz w:val="24"/>
          <w:szCs w:val="24"/>
        </w:rPr>
        <w:t>m</w:t>
      </w:r>
      <w:r>
        <w:rPr>
          <w:rFonts w:ascii="Times New Roman" w:hAnsi="Times New Roman" w:cs="Times New Roman"/>
          <w:sz w:val="24"/>
          <w:szCs w:val="24"/>
        </w:rPr>
        <w:t xml:space="preserve">m x </w:t>
      </w:r>
      <w:r w:rsidR="007950B7">
        <w:rPr>
          <w:rFonts w:ascii="Times New Roman" w:hAnsi="Times New Roman" w:cs="Times New Roman"/>
          <w:sz w:val="24"/>
          <w:szCs w:val="24"/>
        </w:rPr>
        <w:t>50</w:t>
      </w:r>
      <w:r>
        <w:rPr>
          <w:rFonts w:ascii="Times New Roman" w:hAnsi="Times New Roman" w:cs="Times New Roman"/>
          <w:sz w:val="24"/>
          <w:szCs w:val="24"/>
        </w:rPr>
        <w:t xml:space="preserve"> </w:t>
      </w:r>
      <w:r w:rsidR="007950B7">
        <w:rPr>
          <w:rFonts w:ascii="Times New Roman" w:hAnsi="Times New Roman" w:cs="Times New Roman"/>
          <w:sz w:val="24"/>
          <w:szCs w:val="24"/>
        </w:rPr>
        <w:t>m</w:t>
      </w:r>
      <w:r>
        <w:rPr>
          <w:rFonts w:ascii="Times New Roman" w:hAnsi="Times New Roman" w:cs="Times New Roman"/>
          <w:sz w:val="24"/>
          <w:szCs w:val="24"/>
        </w:rPr>
        <w:t xml:space="preserve">m device that is implanted in the sub-cutaneous area of the finger roughly in the center of the finger print. Figure </w:t>
      </w:r>
      <w:r w:rsidR="00552A65">
        <w:rPr>
          <w:rFonts w:ascii="Times New Roman" w:hAnsi="Times New Roman" w:cs="Times New Roman"/>
          <w:sz w:val="24"/>
          <w:szCs w:val="24"/>
        </w:rPr>
        <w:t>2</w:t>
      </w:r>
      <w:r>
        <w:rPr>
          <w:rFonts w:ascii="Times New Roman" w:hAnsi="Times New Roman" w:cs="Times New Roman"/>
          <w:sz w:val="24"/>
          <w:szCs w:val="24"/>
        </w:rPr>
        <w:t xml:space="preserve"> shows the enlarged view of the product and the associated structures in this nano-scale device. </w:t>
      </w:r>
    </w:p>
    <w:p w:rsidR="00A937C5" w:rsidRDefault="00A937C5" w:rsidP="00A937C5">
      <w:pPr>
        <w:ind w:firstLine="270"/>
        <w:jc w:val="center"/>
        <w:rPr>
          <w:rFonts w:ascii="Times New Roman" w:hAnsi="Times New Roman" w:cs="Times New Roman"/>
          <w:sz w:val="24"/>
          <w:szCs w:val="24"/>
        </w:rPr>
      </w:pPr>
      <w:r w:rsidRPr="00A937C5">
        <w:rPr>
          <w:noProof/>
        </w:rPr>
        <w:drawing>
          <wp:inline distT="0" distB="0" distL="0" distR="0">
            <wp:extent cx="3752850" cy="3790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52850" cy="3790950"/>
                    </a:xfrm>
                    <a:prstGeom prst="rect">
                      <a:avLst/>
                    </a:prstGeom>
                    <a:noFill/>
                    <a:ln>
                      <a:noFill/>
                    </a:ln>
                  </pic:spPr>
                </pic:pic>
              </a:graphicData>
            </a:graphic>
          </wp:inline>
        </w:drawing>
      </w:r>
    </w:p>
    <w:p w:rsidR="00A937C5" w:rsidRPr="00E05B50" w:rsidRDefault="00A937C5" w:rsidP="00A937C5">
      <w:pPr>
        <w:ind w:firstLine="270"/>
        <w:jc w:val="center"/>
        <w:rPr>
          <w:rFonts w:ascii="Times New Roman" w:hAnsi="Times New Roman" w:cs="Times New Roman"/>
          <w:b/>
          <w:sz w:val="24"/>
          <w:szCs w:val="24"/>
        </w:rPr>
      </w:pPr>
      <w:r w:rsidRPr="00E05B50">
        <w:rPr>
          <w:rFonts w:ascii="Times New Roman" w:hAnsi="Times New Roman" w:cs="Times New Roman"/>
          <w:b/>
          <w:sz w:val="24"/>
          <w:szCs w:val="24"/>
        </w:rPr>
        <w:t xml:space="preserve">Figure </w:t>
      </w:r>
      <w:r w:rsidR="00552A65">
        <w:rPr>
          <w:rFonts w:ascii="Times New Roman" w:hAnsi="Times New Roman" w:cs="Times New Roman"/>
          <w:b/>
          <w:sz w:val="24"/>
          <w:szCs w:val="24"/>
        </w:rPr>
        <w:t>2</w:t>
      </w:r>
      <w:r w:rsidRPr="00E05B50">
        <w:rPr>
          <w:rFonts w:ascii="Times New Roman" w:hAnsi="Times New Roman" w:cs="Times New Roman"/>
          <w:b/>
          <w:sz w:val="24"/>
          <w:szCs w:val="24"/>
        </w:rPr>
        <w:t>: BioBanking Patented Insert Device</w:t>
      </w:r>
    </w:p>
    <w:p w:rsidR="00552A65" w:rsidRDefault="00A937C5" w:rsidP="00E656CF">
      <w:pPr>
        <w:ind w:firstLine="270"/>
        <w:rPr>
          <w:rFonts w:ascii="Times New Roman" w:hAnsi="Times New Roman" w:cs="Times New Roman"/>
          <w:sz w:val="24"/>
          <w:szCs w:val="24"/>
        </w:rPr>
      </w:pPr>
      <w:r>
        <w:rPr>
          <w:rFonts w:ascii="Times New Roman" w:hAnsi="Times New Roman" w:cs="Times New Roman"/>
          <w:sz w:val="24"/>
          <w:szCs w:val="24"/>
        </w:rPr>
        <w:t xml:space="preserve">The insert has both transmit and receive radio frequency (RF) arrays to perform system actions. </w:t>
      </w:r>
      <w:r w:rsidR="00F26025">
        <w:rPr>
          <w:rFonts w:ascii="Times New Roman" w:hAnsi="Times New Roman" w:cs="Times New Roman"/>
          <w:sz w:val="24"/>
          <w:szCs w:val="24"/>
        </w:rPr>
        <w:t xml:space="preserve">These arrays are powered by solar power. This is done to eliminate the need for battery replacement in the device so it is a long-term stable and viable insert. The solar technology used is similar to the Eco-Drive patented technology used in watches. </w:t>
      </w:r>
      <w:r w:rsidR="00552A65">
        <w:rPr>
          <w:rFonts w:ascii="Times New Roman" w:hAnsi="Times New Roman" w:cs="Times New Roman"/>
          <w:sz w:val="24"/>
          <w:szCs w:val="24"/>
        </w:rPr>
        <w:t xml:space="preserve">The Insert also has on-board processors and memory for account information and control of the RF transmit and receive. Lastly, the device has ambient temperature sensors to ensure the device transitions to shut down if the user’s finger is severed. The ambient temperature sensors are another layer in the defense in depth security offered by BioBanking. </w:t>
      </w:r>
    </w:p>
    <w:p w:rsidR="00552A65" w:rsidRDefault="00552A65" w:rsidP="00E656CF">
      <w:pPr>
        <w:ind w:firstLine="270"/>
        <w:rPr>
          <w:rFonts w:ascii="Times New Roman" w:hAnsi="Times New Roman" w:cs="Times New Roman"/>
          <w:sz w:val="24"/>
          <w:szCs w:val="24"/>
        </w:rPr>
      </w:pPr>
      <w:r>
        <w:rPr>
          <w:rFonts w:ascii="Times New Roman" w:hAnsi="Times New Roman" w:cs="Times New Roman"/>
          <w:sz w:val="24"/>
          <w:szCs w:val="24"/>
        </w:rPr>
        <w:t>The second major part of the technology is an active RF interrogation fingerprint reader. This device both reads the swirls and points of the fingerprint as well as reads the RF transmission from the Insert device.</w:t>
      </w:r>
      <w:r w:rsidR="002B1425">
        <w:rPr>
          <w:rFonts w:ascii="Times New Roman" w:hAnsi="Times New Roman" w:cs="Times New Roman"/>
          <w:sz w:val="24"/>
          <w:szCs w:val="24"/>
        </w:rPr>
        <w:t xml:space="preserve"> The Interrogator allows the opportunity to select active accounts as well as mix accounts</w:t>
      </w:r>
      <w:r w:rsidR="00676161">
        <w:rPr>
          <w:rFonts w:ascii="Times New Roman" w:hAnsi="Times New Roman" w:cs="Times New Roman"/>
          <w:sz w:val="24"/>
          <w:szCs w:val="24"/>
        </w:rPr>
        <w:t>, both credit and debit,</w:t>
      </w:r>
      <w:r w:rsidR="002B1425">
        <w:rPr>
          <w:rFonts w:ascii="Times New Roman" w:hAnsi="Times New Roman" w:cs="Times New Roman"/>
          <w:sz w:val="24"/>
          <w:szCs w:val="24"/>
        </w:rPr>
        <w:t xml:space="preserve"> for payment.</w:t>
      </w:r>
    </w:p>
    <w:p w:rsidR="00552A65" w:rsidRDefault="002B1425" w:rsidP="002B1425">
      <w:pPr>
        <w:ind w:firstLine="270"/>
        <w:jc w:val="center"/>
        <w:rPr>
          <w:rFonts w:ascii="Times New Roman" w:hAnsi="Times New Roman" w:cs="Times New Roman"/>
          <w:sz w:val="24"/>
          <w:szCs w:val="24"/>
        </w:rPr>
      </w:pPr>
      <w:r w:rsidRPr="002B1425">
        <w:rPr>
          <w:noProof/>
        </w:rPr>
        <w:lastRenderedPageBreak/>
        <w:drawing>
          <wp:inline distT="0" distB="0" distL="0" distR="0" wp14:anchorId="0C0FD1D2" wp14:editId="55F11697">
            <wp:extent cx="1600200" cy="1863247"/>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600200" cy="1863247"/>
                    </a:xfrm>
                    <a:prstGeom prst="rect">
                      <a:avLst/>
                    </a:prstGeom>
                  </pic:spPr>
                </pic:pic>
              </a:graphicData>
            </a:graphic>
          </wp:inline>
        </w:drawing>
      </w:r>
    </w:p>
    <w:p w:rsidR="00552A65" w:rsidRPr="002B1425" w:rsidRDefault="00552A65" w:rsidP="00552A65">
      <w:pPr>
        <w:ind w:firstLine="270"/>
        <w:jc w:val="center"/>
        <w:rPr>
          <w:rFonts w:ascii="Times New Roman" w:hAnsi="Times New Roman" w:cs="Times New Roman"/>
          <w:b/>
          <w:sz w:val="24"/>
          <w:szCs w:val="24"/>
        </w:rPr>
      </w:pPr>
      <w:r w:rsidRPr="002B1425">
        <w:rPr>
          <w:rFonts w:ascii="Times New Roman" w:hAnsi="Times New Roman" w:cs="Times New Roman"/>
          <w:b/>
          <w:sz w:val="24"/>
          <w:szCs w:val="24"/>
        </w:rPr>
        <w:t>Figure 3: BioBanking Active Interrogator</w:t>
      </w:r>
    </w:p>
    <w:p w:rsidR="00676161" w:rsidRDefault="00676161" w:rsidP="00E656CF">
      <w:pPr>
        <w:ind w:firstLine="270"/>
        <w:rPr>
          <w:rFonts w:ascii="Times New Roman" w:hAnsi="Times New Roman" w:cs="Times New Roman"/>
          <w:sz w:val="24"/>
          <w:szCs w:val="24"/>
        </w:rPr>
      </w:pPr>
      <w:r>
        <w:rPr>
          <w:rFonts w:ascii="Times New Roman" w:hAnsi="Times New Roman" w:cs="Times New Roman"/>
          <w:sz w:val="24"/>
          <w:szCs w:val="24"/>
        </w:rPr>
        <w:t>The last major component of the system is the Account Encoder. This device allows banks or financial institutions to transmit RF signals with account information encoded on them.</w:t>
      </w:r>
      <w:r w:rsidR="00552A65">
        <w:rPr>
          <w:rFonts w:ascii="Times New Roman" w:hAnsi="Times New Roman" w:cs="Times New Roman"/>
          <w:sz w:val="24"/>
          <w:szCs w:val="24"/>
        </w:rPr>
        <w:t xml:space="preserve"> </w:t>
      </w:r>
      <w:r>
        <w:rPr>
          <w:rFonts w:ascii="Times New Roman" w:hAnsi="Times New Roman" w:cs="Times New Roman"/>
          <w:sz w:val="24"/>
          <w:szCs w:val="24"/>
        </w:rPr>
        <w:t>This account information is then encoded in the memory of the Insert device like firmware. Overwriting the account information for a new bank is easily accomplished with the appropriate security overwrite code.</w:t>
      </w:r>
    </w:p>
    <w:p w:rsidR="00B843EA" w:rsidRPr="001D4AB8" w:rsidRDefault="00552A65" w:rsidP="00E656CF">
      <w:pPr>
        <w:ind w:firstLine="270"/>
        <w:rPr>
          <w:rFonts w:ascii="Times New Roman" w:hAnsi="Times New Roman" w:cs="Times New Roman"/>
          <w:sz w:val="24"/>
          <w:szCs w:val="24"/>
        </w:rPr>
      </w:pPr>
      <w:r>
        <w:rPr>
          <w:rFonts w:ascii="Times New Roman" w:hAnsi="Times New Roman" w:cs="Times New Roman"/>
          <w:sz w:val="24"/>
          <w:szCs w:val="24"/>
        </w:rPr>
        <w:t xml:space="preserve">A complete description of the technology is included in Attachment A: Technology Description. </w:t>
      </w:r>
    </w:p>
    <w:p w:rsidR="00924A4C" w:rsidRDefault="00924A4C" w:rsidP="009609CF">
      <w:pPr>
        <w:pStyle w:val="Heading1"/>
      </w:pPr>
      <w:r>
        <w:t>Financial Industry Transformation</w:t>
      </w:r>
    </w:p>
    <w:p w:rsidR="00E221F3" w:rsidRDefault="009609CF" w:rsidP="004D35ED">
      <w:pPr>
        <w:ind w:firstLine="270"/>
        <w:rPr>
          <w:rFonts w:ascii="Times New Roman" w:hAnsi="Times New Roman" w:cs="Times New Roman"/>
          <w:sz w:val="24"/>
          <w:szCs w:val="24"/>
        </w:rPr>
      </w:pPr>
      <w:r>
        <w:rPr>
          <w:rFonts w:ascii="Times New Roman" w:hAnsi="Times New Roman" w:cs="Times New Roman"/>
          <w:sz w:val="24"/>
          <w:szCs w:val="24"/>
        </w:rPr>
        <w:t>Currently almost all individual financial transactions use a card media and short passcode of some sort</w:t>
      </w:r>
      <w:r w:rsidR="004D35ED">
        <w:rPr>
          <w:i/>
        </w:rPr>
        <w:t>.</w:t>
      </w:r>
      <w:r>
        <w:rPr>
          <w:i/>
        </w:rPr>
        <w:t xml:space="preserve"> </w:t>
      </w:r>
      <w:r w:rsidR="00E221F3" w:rsidRPr="00E221F3">
        <w:rPr>
          <w:rFonts w:ascii="Times New Roman" w:hAnsi="Times New Roman" w:cs="Times New Roman"/>
          <w:sz w:val="24"/>
          <w:szCs w:val="24"/>
        </w:rPr>
        <w:t>Many now offer RF</w:t>
      </w:r>
      <w:r w:rsidR="00E221F3">
        <w:rPr>
          <w:rFonts w:ascii="Times New Roman" w:hAnsi="Times New Roman" w:cs="Times New Roman"/>
          <w:sz w:val="24"/>
          <w:szCs w:val="24"/>
        </w:rPr>
        <w:t xml:space="preserve"> proximity swiping for ease of use. These technologies are convenient to the customer but are extremely convenient to the identity thief as well. </w:t>
      </w:r>
      <w:r w:rsidR="006261B2">
        <w:rPr>
          <w:rFonts w:ascii="Times New Roman" w:hAnsi="Times New Roman" w:cs="Times New Roman"/>
          <w:sz w:val="24"/>
          <w:szCs w:val="24"/>
        </w:rPr>
        <w:t xml:space="preserve">Stealing a card and using it is very simple with the advent of online purchasing where the identity of the consumer is anonymous. The RF card material is often picked by a simple RF scanner waved over the </w:t>
      </w:r>
      <w:r w:rsidR="00802E63">
        <w:rPr>
          <w:rFonts w:ascii="Times New Roman" w:hAnsi="Times New Roman" w:cs="Times New Roman"/>
          <w:sz w:val="24"/>
          <w:szCs w:val="24"/>
        </w:rPr>
        <w:t>user’s</w:t>
      </w:r>
      <w:r w:rsidR="006261B2">
        <w:rPr>
          <w:rFonts w:ascii="Times New Roman" w:hAnsi="Times New Roman" w:cs="Times New Roman"/>
          <w:sz w:val="24"/>
          <w:szCs w:val="24"/>
        </w:rPr>
        <w:t xml:space="preserve"> person without their knowledge. Since there are no other authentication mechanisms, the card information is now free to use for the identity thief.</w:t>
      </w:r>
    </w:p>
    <w:p w:rsidR="004D35ED" w:rsidRDefault="00E221F3" w:rsidP="004D35ED">
      <w:pPr>
        <w:ind w:firstLine="270"/>
        <w:rPr>
          <w:rFonts w:ascii="Times New Roman" w:hAnsi="Times New Roman" w:cs="Times New Roman"/>
          <w:sz w:val="24"/>
          <w:szCs w:val="24"/>
        </w:rPr>
      </w:pPr>
      <w:r>
        <w:rPr>
          <w:rFonts w:ascii="Times New Roman" w:hAnsi="Times New Roman" w:cs="Times New Roman"/>
          <w:sz w:val="24"/>
          <w:szCs w:val="24"/>
        </w:rPr>
        <w:t xml:space="preserve">These technologies are not convenient to financial institutions. The banks have to manage the issue and revocation of cards, manage the personal identification numbers (PIN), and re-issue stolen or lost cards. This is a huge overhead burden considering the number of cards issues in the US. The total </w:t>
      </w:r>
      <w:r w:rsidR="00802E63">
        <w:rPr>
          <w:rFonts w:ascii="Times New Roman" w:hAnsi="Times New Roman" w:cs="Times New Roman"/>
          <w:sz w:val="24"/>
          <w:szCs w:val="24"/>
        </w:rPr>
        <w:t>numbers of cards issued in the US through the end of 2010 are</w:t>
      </w:r>
      <w:r>
        <w:rPr>
          <w:rFonts w:ascii="Times New Roman" w:hAnsi="Times New Roman" w:cs="Times New Roman"/>
          <w:sz w:val="24"/>
          <w:szCs w:val="24"/>
        </w:rPr>
        <w:t>:</w:t>
      </w:r>
    </w:p>
    <w:p w:rsidR="00E221F3" w:rsidRPr="00E221F3" w:rsidRDefault="00E221F3" w:rsidP="00E221F3">
      <w:pPr>
        <w:pStyle w:val="ListParagraph"/>
        <w:numPr>
          <w:ilvl w:val="0"/>
          <w:numId w:val="3"/>
        </w:numPr>
        <w:shd w:val="clear" w:color="auto" w:fill="FFFFFF"/>
        <w:spacing w:after="0" w:line="240" w:lineRule="auto"/>
        <w:rPr>
          <w:rFonts w:ascii="Times New Roman" w:eastAsia="Times New Roman" w:hAnsi="Times New Roman" w:cs="Times New Roman"/>
          <w:color w:val="000000"/>
          <w:sz w:val="24"/>
          <w:szCs w:val="24"/>
        </w:rPr>
      </w:pPr>
      <w:r w:rsidRPr="00E221F3">
        <w:rPr>
          <w:rFonts w:ascii="Times New Roman" w:eastAsia="Times New Roman" w:hAnsi="Times New Roman" w:cs="Times New Roman"/>
          <w:color w:val="000000"/>
          <w:sz w:val="24"/>
          <w:szCs w:val="24"/>
        </w:rPr>
        <w:t xml:space="preserve">American Express credit: 48.9 million </w:t>
      </w:r>
    </w:p>
    <w:p w:rsidR="00E221F3" w:rsidRPr="00E221F3" w:rsidRDefault="00E221F3" w:rsidP="00E221F3">
      <w:pPr>
        <w:pStyle w:val="ListParagraph"/>
        <w:numPr>
          <w:ilvl w:val="0"/>
          <w:numId w:val="3"/>
        </w:numPr>
        <w:shd w:val="clear" w:color="auto" w:fill="FFFFFF"/>
        <w:spacing w:after="0" w:line="240" w:lineRule="auto"/>
        <w:rPr>
          <w:rFonts w:ascii="Times New Roman" w:eastAsia="Times New Roman" w:hAnsi="Times New Roman" w:cs="Times New Roman"/>
          <w:color w:val="000000"/>
          <w:sz w:val="24"/>
          <w:szCs w:val="24"/>
        </w:rPr>
      </w:pPr>
      <w:r w:rsidRPr="00E221F3">
        <w:rPr>
          <w:rFonts w:ascii="Times New Roman" w:eastAsia="Times New Roman" w:hAnsi="Times New Roman" w:cs="Times New Roman"/>
          <w:color w:val="000000"/>
          <w:sz w:val="24"/>
          <w:szCs w:val="24"/>
        </w:rPr>
        <w:t xml:space="preserve">MasterCard credit: 171 million </w:t>
      </w:r>
    </w:p>
    <w:p w:rsidR="00E221F3" w:rsidRPr="00E221F3" w:rsidRDefault="00E221F3" w:rsidP="00E221F3">
      <w:pPr>
        <w:pStyle w:val="ListParagraph"/>
        <w:numPr>
          <w:ilvl w:val="0"/>
          <w:numId w:val="3"/>
        </w:numPr>
        <w:shd w:val="clear" w:color="auto" w:fill="FFFFFF"/>
        <w:spacing w:after="0" w:line="240" w:lineRule="auto"/>
        <w:rPr>
          <w:rFonts w:ascii="Times New Roman" w:eastAsia="Times New Roman" w:hAnsi="Times New Roman" w:cs="Times New Roman"/>
          <w:color w:val="000000"/>
          <w:sz w:val="24"/>
          <w:szCs w:val="24"/>
        </w:rPr>
      </w:pPr>
      <w:r w:rsidRPr="00E221F3">
        <w:rPr>
          <w:rFonts w:ascii="Times New Roman" w:eastAsia="Times New Roman" w:hAnsi="Times New Roman" w:cs="Times New Roman"/>
          <w:color w:val="000000"/>
          <w:sz w:val="24"/>
          <w:szCs w:val="24"/>
        </w:rPr>
        <w:t xml:space="preserve">MasterCard debit: 123 million </w:t>
      </w:r>
    </w:p>
    <w:p w:rsidR="00E221F3" w:rsidRPr="00E221F3" w:rsidRDefault="00E221F3" w:rsidP="00E221F3">
      <w:pPr>
        <w:pStyle w:val="ListParagraph"/>
        <w:numPr>
          <w:ilvl w:val="0"/>
          <w:numId w:val="3"/>
        </w:numPr>
        <w:shd w:val="clear" w:color="auto" w:fill="FFFFFF"/>
        <w:spacing w:after="0" w:line="240" w:lineRule="auto"/>
        <w:rPr>
          <w:rFonts w:ascii="Times New Roman" w:eastAsia="Times New Roman" w:hAnsi="Times New Roman" w:cs="Times New Roman"/>
          <w:color w:val="000000"/>
          <w:sz w:val="24"/>
          <w:szCs w:val="24"/>
        </w:rPr>
      </w:pPr>
      <w:r w:rsidRPr="00E221F3">
        <w:rPr>
          <w:rFonts w:ascii="Times New Roman" w:eastAsia="Times New Roman" w:hAnsi="Times New Roman" w:cs="Times New Roman"/>
          <w:color w:val="000000"/>
          <w:sz w:val="24"/>
          <w:szCs w:val="24"/>
        </w:rPr>
        <w:t xml:space="preserve">Visa credit: 269 million, as of Sept. 30, 2010 </w:t>
      </w:r>
    </w:p>
    <w:p w:rsidR="002777FF" w:rsidRPr="00C865FA" w:rsidRDefault="00E221F3" w:rsidP="00E221F3">
      <w:pPr>
        <w:pStyle w:val="ListParagraph"/>
        <w:numPr>
          <w:ilvl w:val="0"/>
          <w:numId w:val="3"/>
        </w:numPr>
        <w:shd w:val="clear" w:color="auto" w:fill="FFFFFF"/>
        <w:spacing w:after="75" w:line="240" w:lineRule="auto"/>
        <w:rPr>
          <w:rFonts w:ascii="Times New Roman" w:hAnsi="Times New Roman" w:cs="Times New Roman"/>
          <w:sz w:val="24"/>
          <w:szCs w:val="24"/>
        </w:rPr>
      </w:pPr>
      <w:r w:rsidRPr="00E221F3">
        <w:rPr>
          <w:rFonts w:ascii="Times New Roman" w:eastAsia="Times New Roman" w:hAnsi="Times New Roman" w:cs="Times New Roman"/>
          <w:color w:val="000000"/>
          <w:sz w:val="24"/>
          <w:szCs w:val="24"/>
        </w:rPr>
        <w:t xml:space="preserve">Visa debit: 397 million, as of Sept. 30, 2010 </w:t>
      </w:r>
    </w:p>
    <w:p w:rsidR="00C865FA" w:rsidRPr="00C865FA" w:rsidRDefault="00C865FA" w:rsidP="00C865FA">
      <w:pPr>
        <w:shd w:val="clear" w:color="auto" w:fill="FFFFFF"/>
        <w:spacing w:after="75" w:line="240" w:lineRule="auto"/>
        <w:ind w:left="720"/>
        <w:rPr>
          <w:rFonts w:ascii="Times New Roman" w:hAnsi="Times New Roman" w:cs="Times New Roman"/>
          <w:sz w:val="24"/>
          <w:szCs w:val="24"/>
        </w:rPr>
      </w:pPr>
    </w:p>
    <w:p w:rsidR="006261B2" w:rsidRDefault="002777FF" w:rsidP="002777FF">
      <w:pPr>
        <w:shd w:val="clear" w:color="auto" w:fill="FFFFFF"/>
        <w:spacing w:after="75" w:line="240" w:lineRule="auto"/>
        <w:rPr>
          <w:rFonts w:ascii="Times New Roman" w:eastAsia="Times New Roman" w:hAnsi="Times New Roman" w:cs="Times New Roman"/>
          <w:color w:val="000000"/>
          <w:sz w:val="24"/>
          <w:szCs w:val="24"/>
        </w:rPr>
      </w:pPr>
      <w:r w:rsidRPr="002777FF">
        <w:rPr>
          <w:rFonts w:ascii="Times New Roman" w:eastAsia="Times New Roman" w:hAnsi="Times New Roman" w:cs="Times New Roman"/>
          <w:color w:val="000000"/>
          <w:sz w:val="24"/>
          <w:szCs w:val="24"/>
        </w:rPr>
        <w:lastRenderedPageBreak/>
        <w:t xml:space="preserve">Each of these </w:t>
      </w:r>
      <w:r>
        <w:rPr>
          <w:rFonts w:ascii="Times New Roman" w:eastAsia="Times New Roman" w:hAnsi="Times New Roman" w:cs="Times New Roman"/>
          <w:color w:val="000000"/>
          <w:sz w:val="24"/>
          <w:szCs w:val="24"/>
        </w:rPr>
        <w:t xml:space="preserve">has the potential for identity theft or financial fraud. </w:t>
      </w:r>
      <w:sdt>
        <w:sdtPr>
          <w:rPr>
            <w:rFonts w:ascii="Times New Roman" w:eastAsia="Times New Roman" w:hAnsi="Times New Roman" w:cs="Times New Roman"/>
            <w:color w:val="000000"/>
            <w:sz w:val="24"/>
            <w:szCs w:val="24"/>
          </w:rPr>
          <w:id w:val="-1420322435"/>
          <w:citation/>
        </w:sdtPr>
        <w:sdtEndPr/>
        <w:sdtContent>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 xml:space="preserve"> CITATION Woo111 \l 1033 </w:instrText>
          </w:r>
          <w:r>
            <w:rPr>
              <w:rFonts w:ascii="Times New Roman" w:eastAsia="Times New Roman" w:hAnsi="Times New Roman" w:cs="Times New Roman"/>
              <w:color w:val="000000"/>
              <w:sz w:val="24"/>
              <w:szCs w:val="24"/>
            </w:rPr>
            <w:fldChar w:fldCharType="separate"/>
          </w:r>
          <w:r w:rsidRPr="002777FF">
            <w:rPr>
              <w:rFonts w:ascii="Times New Roman" w:eastAsia="Times New Roman" w:hAnsi="Times New Roman" w:cs="Times New Roman"/>
              <w:noProof/>
              <w:color w:val="000000"/>
              <w:sz w:val="24"/>
              <w:szCs w:val="24"/>
            </w:rPr>
            <w:t>(Woolsley &amp; Shulz, 2011)</w:t>
          </w:r>
          <w:r>
            <w:rPr>
              <w:rFonts w:ascii="Times New Roman" w:eastAsia="Times New Roman" w:hAnsi="Times New Roman" w:cs="Times New Roman"/>
              <w:color w:val="000000"/>
              <w:sz w:val="24"/>
              <w:szCs w:val="24"/>
            </w:rPr>
            <w:fldChar w:fldCharType="end"/>
          </w:r>
        </w:sdtContent>
      </w:sdt>
      <w:r w:rsidR="002C364A">
        <w:rPr>
          <w:rFonts w:ascii="Times New Roman" w:eastAsia="Times New Roman" w:hAnsi="Times New Roman" w:cs="Times New Roman"/>
          <w:color w:val="000000"/>
          <w:sz w:val="24"/>
          <w:szCs w:val="24"/>
        </w:rPr>
        <w:t xml:space="preserve"> An added complexity is that these represent the major financial institutions. There are also many store cards and revolving debt cards that have the same archaic authentication mechanisms. </w:t>
      </w:r>
    </w:p>
    <w:p w:rsidR="00E40030" w:rsidRDefault="006261B2" w:rsidP="00E629BC">
      <w:pPr>
        <w:shd w:val="clear" w:color="auto" w:fill="FFFFFF"/>
        <w:spacing w:before="240" w:after="75" w:line="240" w:lineRule="auto"/>
        <w:ind w:firstLine="27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There is currently a huge financial infrastructure in place with current readers and automated teller machines (ATM). </w:t>
      </w:r>
      <w:r w:rsidR="003D00B5">
        <w:rPr>
          <w:rFonts w:ascii="Times New Roman" w:eastAsia="Times New Roman" w:hAnsi="Times New Roman" w:cs="Times New Roman"/>
          <w:color w:val="000000"/>
          <w:sz w:val="24"/>
          <w:szCs w:val="24"/>
        </w:rPr>
        <w:t>To migrate toward BioBanking for individual financial transactions will require an overlay that works with these technologies until they are phased out over time. Watson MegaTech has a plan for accomplishing this.</w:t>
      </w:r>
      <w:r w:rsidR="00E40030">
        <w:rPr>
          <w:rFonts w:ascii="Times New Roman" w:eastAsia="Times New Roman" w:hAnsi="Times New Roman" w:cs="Times New Roman"/>
          <w:color w:val="000000"/>
          <w:sz w:val="24"/>
          <w:szCs w:val="24"/>
        </w:rPr>
        <w:t xml:space="preserve"> Figure 4 shows the overall four year timeline to completely overhaul the individual transaction system.</w:t>
      </w:r>
    </w:p>
    <w:p w:rsidR="00E221F3" w:rsidRDefault="00E40030" w:rsidP="00E40030">
      <w:pPr>
        <w:shd w:val="clear" w:color="auto" w:fill="FFFFFF"/>
        <w:spacing w:before="240" w:after="75" w:line="240" w:lineRule="auto"/>
        <w:ind w:firstLine="270"/>
        <w:jc w:val="center"/>
        <w:rPr>
          <w:rFonts w:ascii="Times New Roman" w:hAnsi="Times New Roman" w:cs="Times New Roman"/>
          <w:sz w:val="24"/>
          <w:szCs w:val="24"/>
        </w:rPr>
      </w:pPr>
      <w:r>
        <w:rPr>
          <w:rFonts w:ascii="Times New Roman" w:eastAsia="Times New Roman" w:hAnsi="Times New Roman" w:cs="Times New Roman"/>
          <w:b/>
          <w:noProof/>
          <w:color w:val="000000"/>
          <w:sz w:val="24"/>
          <w:szCs w:val="24"/>
        </w:rPr>
        <w:drawing>
          <wp:inline distT="0" distB="0" distL="0" distR="0" wp14:anchorId="09C8277F">
            <wp:extent cx="5151755" cy="2548255"/>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51755" cy="2548255"/>
                    </a:xfrm>
                    <a:prstGeom prst="rect">
                      <a:avLst/>
                    </a:prstGeom>
                    <a:noFill/>
                  </pic:spPr>
                </pic:pic>
              </a:graphicData>
            </a:graphic>
          </wp:inline>
        </w:drawing>
      </w:r>
      <w:r w:rsidR="00E221F3" w:rsidRPr="002777FF">
        <w:rPr>
          <w:rFonts w:ascii="Times New Roman" w:eastAsia="Times New Roman" w:hAnsi="Times New Roman" w:cs="Times New Roman"/>
          <w:color w:val="000000"/>
          <w:sz w:val="24"/>
          <w:szCs w:val="24"/>
        </w:rPr>
        <w:br/>
      </w:r>
      <w:r w:rsidRPr="00E40030">
        <w:rPr>
          <w:rFonts w:ascii="Times New Roman" w:eastAsia="Times New Roman" w:hAnsi="Times New Roman" w:cs="Times New Roman"/>
          <w:b/>
          <w:color w:val="000000"/>
          <w:sz w:val="24"/>
          <w:szCs w:val="24"/>
        </w:rPr>
        <w:t>Figure 4: Timeline for BioBanking Deployment</w:t>
      </w:r>
      <w:r w:rsidR="00E221F3" w:rsidRPr="00E40030">
        <w:rPr>
          <w:rFonts w:ascii="Times New Roman" w:eastAsia="Times New Roman" w:hAnsi="Times New Roman" w:cs="Times New Roman"/>
          <w:b/>
          <w:color w:val="000000"/>
          <w:sz w:val="24"/>
          <w:szCs w:val="24"/>
        </w:rPr>
        <w:br/>
      </w:r>
    </w:p>
    <w:p w:rsidR="00E40030" w:rsidRDefault="00E40030" w:rsidP="00E40030">
      <w:pPr>
        <w:pStyle w:val="ListParagraph"/>
        <w:numPr>
          <w:ilvl w:val="0"/>
          <w:numId w:val="5"/>
        </w:numPr>
        <w:shd w:val="clear" w:color="auto" w:fill="FFFFFF"/>
        <w:spacing w:before="240" w:after="75" w:line="240" w:lineRule="auto"/>
        <w:ind w:left="1080"/>
        <w:rPr>
          <w:rFonts w:ascii="Times New Roman" w:hAnsi="Times New Roman" w:cs="Times New Roman"/>
          <w:sz w:val="24"/>
          <w:szCs w:val="24"/>
        </w:rPr>
      </w:pPr>
      <w:r w:rsidRPr="00E60F1D">
        <w:rPr>
          <w:rFonts w:ascii="Times New Roman" w:hAnsi="Times New Roman" w:cs="Times New Roman"/>
          <w:b/>
          <w:sz w:val="24"/>
          <w:szCs w:val="24"/>
        </w:rPr>
        <w:t xml:space="preserve">Year </w:t>
      </w:r>
      <w:r w:rsidR="00E60F1D">
        <w:rPr>
          <w:rFonts w:ascii="Times New Roman" w:hAnsi="Times New Roman" w:cs="Times New Roman"/>
          <w:b/>
          <w:sz w:val="24"/>
          <w:szCs w:val="24"/>
        </w:rPr>
        <w:t>O</w:t>
      </w:r>
      <w:r w:rsidRPr="00E60F1D">
        <w:rPr>
          <w:rFonts w:ascii="Times New Roman" w:hAnsi="Times New Roman" w:cs="Times New Roman"/>
          <w:b/>
          <w:sz w:val="24"/>
          <w:szCs w:val="24"/>
        </w:rPr>
        <w:t>ne</w:t>
      </w:r>
      <w:r>
        <w:rPr>
          <w:rFonts w:ascii="Times New Roman" w:hAnsi="Times New Roman" w:cs="Times New Roman"/>
          <w:sz w:val="24"/>
          <w:szCs w:val="24"/>
        </w:rPr>
        <w:t xml:space="preserve"> requires the deployment of the readers and encoders at major financial institutions. This will begin at the major financial centers and headquarters. </w:t>
      </w:r>
      <w:r w:rsidR="00CA382E">
        <w:rPr>
          <w:rFonts w:ascii="Times New Roman" w:hAnsi="Times New Roman" w:cs="Times New Roman"/>
          <w:sz w:val="24"/>
          <w:szCs w:val="24"/>
        </w:rPr>
        <w:t>First deployments will reside alongside the current card reader technology but will use the same network infrastructure.</w:t>
      </w:r>
    </w:p>
    <w:p w:rsidR="00CA382E" w:rsidRDefault="00E60F1D" w:rsidP="00E40030">
      <w:pPr>
        <w:pStyle w:val="ListParagraph"/>
        <w:numPr>
          <w:ilvl w:val="0"/>
          <w:numId w:val="5"/>
        </w:numPr>
        <w:shd w:val="clear" w:color="auto" w:fill="FFFFFF"/>
        <w:spacing w:before="240" w:after="75" w:line="240" w:lineRule="auto"/>
        <w:ind w:left="1080"/>
        <w:rPr>
          <w:rFonts w:ascii="Times New Roman" w:hAnsi="Times New Roman" w:cs="Times New Roman"/>
          <w:sz w:val="24"/>
          <w:szCs w:val="24"/>
        </w:rPr>
      </w:pPr>
      <w:r>
        <w:rPr>
          <w:rFonts w:ascii="Times New Roman" w:hAnsi="Times New Roman" w:cs="Times New Roman"/>
          <w:b/>
          <w:sz w:val="24"/>
          <w:szCs w:val="24"/>
        </w:rPr>
        <w:t>Year T</w:t>
      </w:r>
      <w:r w:rsidR="00CA382E" w:rsidRPr="00E60F1D">
        <w:rPr>
          <w:rFonts w:ascii="Times New Roman" w:hAnsi="Times New Roman" w:cs="Times New Roman"/>
          <w:b/>
          <w:sz w:val="24"/>
          <w:szCs w:val="24"/>
        </w:rPr>
        <w:t>wo</w:t>
      </w:r>
      <w:r w:rsidR="00CA382E">
        <w:rPr>
          <w:rFonts w:ascii="Times New Roman" w:hAnsi="Times New Roman" w:cs="Times New Roman"/>
          <w:sz w:val="24"/>
          <w:szCs w:val="24"/>
        </w:rPr>
        <w:t xml:space="preserve"> will begin the deployment of encoders and readers to financial institution branches and to point of sale locations. This will use the same paradigm as year one BioBanking technology will sit next to legacy card readers and use the same network infrastructure. Year two will also see</w:t>
      </w:r>
      <w:r w:rsidR="007824E6">
        <w:rPr>
          <w:rFonts w:ascii="Times New Roman" w:hAnsi="Times New Roman" w:cs="Times New Roman"/>
          <w:sz w:val="24"/>
          <w:szCs w:val="24"/>
        </w:rPr>
        <w:t xml:space="preserve"> the installation of the BioBanking Inserts into partner banking customers.</w:t>
      </w:r>
      <w:r w:rsidR="00CA382E">
        <w:rPr>
          <w:rFonts w:ascii="Times New Roman" w:hAnsi="Times New Roman" w:cs="Times New Roman"/>
          <w:sz w:val="24"/>
          <w:szCs w:val="24"/>
        </w:rPr>
        <w:t xml:space="preserve"> </w:t>
      </w:r>
    </w:p>
    <w:p w:rsidR="007824E6" w:rsidRDefault="00E60F1D" w:rsidP="00E40030">
      <w:pPr>
        <w:pStyle w:val="ListParagraph"/>
        <w:numPr>
          <w:ilvl w:val="0"/>
          <w:numId w:val="5"/>
        </w:numPr>
        <w:shd w:val="clear" w:color="auto" w:fill="FFFFFF"/>
        <w:spacing w:before="240" w:after="75" w:line="240" w:lineRule="auto"/>
        <w:ind w:left="1080"/>
        <w:rPr>
          <w:rFonts w:ascii="Times New Roman" w:hAnsi="Times New Roman" w:cs="Times New Roman"/>
          <w:sz w:val="24"/>
          <w:szCs w:val="24"/>
        </w:rPr>
      </w:pPr>
      <w:r>
        <w:rPr>
          <w:rFonts w:ascii="Times New Roman" w:hAnsi="Times New Roman" w:cs="Times New Roman"/>
          <w:b/>
          <w:sz w:val="24"/>
          <w:szCs w:val="24"/>
        </w:rPr>
        <w:t>Year T</w:t>
      </w:r>
      <w:r w:rsidR="007824E6" w:rsidRPr="00E60F1D">
        <w:rPr>
          <w:rFonts w:ascii="Times New Roman" w:hAnsi="Times New Roman" w:cs="Times New Roman"/>
          <w:b/>
          <w:sz w:val="24"/>
          <w:szCs w:val="24"/>
        </w:rPr>
        <w:t>hree</w:t>
      </w:r>
      <w:r w:rsidR="007824E6">
        <w:rPr>
          <w:rFonts w:ascii="Times New Roman" w:hAnsi="Times New Roman" w:cs="Times New Roman"/>
          <w:sz w:val="24"/>
          <w:szCs w:val="24"/>
        </w:rPr>
        <w:t xml:space="preserve"> of the deployment will see the ATM network replaced with hybrid card/BioBanking interrogators at all locations as well as beginning to replace point of sale technology with new hybrid BioBanking/card interrogators.</w:t>
      </w:r>
    </w:p>
    <w:p w:rsidR="007824E6" w:rsidRDefault="00E60F1D" w:rsidP="00E40030">
      <w:pPr>
        <w:pStyle w:val="ListParagraph"/>
        <w:numPr>
          <w:ilvl w:val="0"/>
          <w:numId w:val="5"/>
        </w:numPr>
        <w:shd w:val="clear" w:color="auto" w:fill="FFFFFF"/>
        <w:spacing w:before="240" w:after="75" w:line="240" w:lineRule="auto"/>
        <w:ind w:left="1080"/>
        <w:rPr>
          <w:rFonts w:ascii="Times New Roman" w:hAnsi="Times New Roman" w:cs="Times New Roman"/>
          <w:sz w:val="24"/>
          <w:szCs w:val="24"/>
        </w:rPr>
      </w:pPr>
      <w:r>
        <w:rPr>
          <w:rFonts w:ascii="Times New Roman" w:hAnsi="Times New Roman" w:cs="Times New Roman"/>
          <w:b/>
          <w:sz w:val="24"/>
          <w:szCs w:val="24"/>
        </w:rPr>
        <w:t>Year F</w:t>
      </w:r>
      <w:r w:rsidR="007824E6" w:rsidRPr="00E60F1D">
        <w:rPr>
          <w:rFonts w:ascii="Times New Roman" w:hAnsi="Times New Roman" w:cs="Times New Roman"/>
          <w:b/>
          <w:sz w:val="24"/>
          <w:szCs w:val="24"/>
        </w:rPr>
        <w:t>our</w:t>
      </w:r>
      <w:r w:rsidR="007824E6">
        <w:rPr>
          <w:rFonts w:ascii="Times New Roman" w:hAnsi="Times New Roman" w:cs="Times New Roman"/>
          <w:sz w:val="24"/>
          <w:szCs w:val="24"/>
        </w:rPr>
        <w:t xml:space="preserve"> sees the deployment complete through the US and installs a major network upgrade to raise the reliability of financial transactions and speed up traffic.</w:t>
      </w:r>
    </w:p>
    <w:p w:rsidR="007824E6" w:rsidRPr="007824E6" w:rsidRDefault="00A2485F" w:rsidP="007824E6">
      <w:pPr>
        <w:shd w:val="clear" w:color="auto" w:fill="FFFFFF"/>
        <w:spacing w:before="240" w:after="75" w:line="240" w:lineRule="auto"/>
        <w:ind w:firstLine="270"/>
        <w:rPr>
          <w:rFonts w:ascii="Times New Roman" w:hAnsi="Times New Roman" w:cs="Times New Roman"/>
          <w:sz w:val="24"/>
          <w:szCs w:val="24"/>
        </w:rPr>
      </w:pPr>
      <w:r>
        <w:rPr>
          <w:rFonts w:ascii="Times New Roman" w:hAnsi="Times New Roman" w:cs="Times New Roman"/>
          <w:sz w:val="24"/>
          <w:szCs w:val="24"/>
        </w:rPr>
        <w:t xml:space="preserve">Since the financial </w:t>
      </w:r>
      <w:r w:rsidR="00E60F1D">
        <w:rPr>
          <w:rFonts w:ascii="Times New Roman" w:hAnsi="Times New Roman" w:cs="Times New Roman"/>
          <w:sz w:val="24"/>
          <w:szCs w:val="24"/>
        </w:rPr>
        <w:t xml:space="preserve">network </w:t>
      </w:r>
      <w:r>
        <w:rPr>
          <w:rFonts w:ascii="Times New Roman" w:hAnsi="Times New Roman" w:cs="Times New Roman"/>
          <w:sz w:val="24"/>
          <w:szCs w:val="24"/>
        </w:rPr>
        <w:t>is global in nature and the United States attracts many visitors from all over the world, it will likely be impossible to completely replace card readers in the near future. The alternative is to deploy hybrid card readers that also serve as BioBanking point of sale interrogators.</w:t>
      </w:r>
      <w:r w:rsidR="00E60F1D">
        <w:rPr>
          <w:rFonts w:ascii="Times New Roman" w:hAnsi="Times New Roman" w:cs="Times New Roman"/>
          <w:sz w:val="24"/>
          <w:szCs w:val="24"/>
        </w:rPr>
        <w:t xml:space="preserve"> This is the technology targeted at the year three and year four efforts. </w:t>
      </w:r>
    </w:p>
    <w:p w:rsidR="00924A4C" w:rsidRDefault="00924A4C" w:rsidP="00262BD8">
      <w:pPr>
        <w:pStyle w:val="Heading1"/>
      </w:pPr>
      <w:r>
        <w:lastRenderedPageBreak/>
        <w:t>Technology Disruption</w:t>
      </w:r>
    </w:p>
    <w:p w:rsidR="005115E8" w:rsidRDefault="005115E8" w:rsidP="004D35ED">
      <w:pPr>
        <w:ind w:firstLine="270"/>
        <w:rPr>
          <w:rFonts w:ascii="Times New Roman" w:hAnsi="Times New Roman" w:cs="Times New Roman"/>
          <w:sz w:val="24"/>
          <w:szCs w:val="24"/>
        </w:rPr>
      </w:pPr>
      <w:r>
        <w:rPr>
          <w:rFonts w:ascii="Times New Roman" w:hAnsi="Times New Roman" w:cs="Times New Roman"/>
          <w:sz w:val="24"/>
          <w:szCs w:val="24"/>
        </w:rPr>
        <w:t>By virtue of the technology and implementation there will be some current technologies that will be displaced. This is inevitable as innovation marches on and new paradigms are developed. Watson MegaTech is sensitive to the economic impact of the technology disruptions and has devised a strategy that will allow near-term harmony among all the technologies with a gradual phase-out of some current methods. Table 1 generally outlines the perceived technology disruptions and the near and far-term strategies for them.</w:t>
      </w:r>
    </w:p>
    <w:p w:rsidR="005115E8" w:rsidRDefault="005115E8" w:rsidP="005115E8">
      <w:pPr>
        <w:ind w:firstLine="270"/>
        <w:jc w:val="center"/>
        <w:rPr>
          <w:rFonts w:ascii="Times New Roman" w:hAnsi="Times New Roman" w:cs="Times New Roman"/>
          <w:sz w:val="24"/>
          <w:szCs w:val="24"/>
        </w:rPr>
      </w:pPr>
      <w:r w:rsidRPr="005115E8">
        <w:rPr>
          <w:rFonts w:ascii="Times New Roman" w:hAnsi="Times New Roman" w:cs="Times New Roman"/>
          <w:b/>
          <w:sz w:val="24"/>
          <w:szCs w:val="24"/>
        </w:rPr>
        <w:t>Table 1: Technology Disruption Efficiency Strategy</w:t>
      </w:r>
    </w:p>
    <w:p w:rsidR="005115E8" w:rsidRPr="005115E8" w:rsidRDefault="005115E8" w:rsidP="005115E8">
      <w:pPr>
        <w:ind w:firstLine="270"/>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059A6170">
            <wp:extent cx="5639435" cy="326136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39435" cy="3261360"/>
                    </a:xfrm>
                    <a:prstGeom prst="rect">
                      <a:avLst/>
                    </a:prstGeom>
                    <a:noFill/>
                  </pic:spPr>
                </pic:pic>
              </a:graphicData>
            </a:graphic>
          </wp:inline>
        </w:drawing>
      </w:r>
    </w:p>
    <w:p w:rsidR="004D35ED" w:rsidRPr="005115E8" w:rsidRDefault="0059727B" w:rsidP="005115E8">
      <w:pPr>
        <w:pStyle w:val="ListParagraph"/>
        <w:numPr>
          <w:ilvl w:val="0"/>
          <w:numId w:val="6"/>
        </w:numPr>
        <w:rPr>
          <w:rFonts w:ascii="Times New Roman" w:hAnsi="Times New Roman" w:cs="Times New Roman"/>
          <w:sz w:val="24"/>
          <w:szCs w:val="24"/>
        </w:rPr>
      </w:pPr>
      <w:r w:rsidRPr="005115E8">
        <w:rPr>
          <w:rFonts w:ascii="Times New Roman" w:hAnsi="Times New Roman" w:cs="Times New Roman"/>
          <w:sz w:val="24"/>
          <w:szCs w:val="24"/>
        </w:rPr>
        <w:t xml:space="preserve">BioBanking will cause great upheaval in the current magnetic stripe card readers for point of sale devices and ATM. </w:t>
      </w:r>
      <w:r w:rsidR="005115E8">
        <w:rPr>
          <w:rFonts w:ascii="Times New Roman" w:hAnsi="Times New Roman" w:cs="Times New Roman"/>
          <w:sz w:val="24"/>
          <w:szCs w:val="24"/>
        </w:rPr>
        <w:t>The single thread payment options and single method security contribute to their lack of utility and potential for identity theft. However, in the near-term BioBanking readers will reside adjacent to magnetic card readers then become integrated with them. Magnetic cards will become obsolete in the far-term and this industry will need to look at other markets.</w:t>
      </w:r>
    </w:p>
    <w:p w:rsidR="0059727B" w:rsidRPr="005115E8" w:rsidRDefault="0059727B" w:rsidP="005115E8">
      <w:pPr>
        <w:pStyle w:val="ListParagraph"/>
        <w:numPr>
          <w:ilvl w:val="0"/>
          <w:numId w:val="6"/>
        </w:numPr>
        <w:rPr>
          <w:rFonts w:ascii="Times New Roman" w:hAnsi="Times New Roman" w:cs="Times New Roman"/>
          <w:sz w:val="24"/>
          <w:szCs w:val="24"/>
        </w:rPr>
      </w:pPr>
      <w:r w:rsidRPr="005115E8">
        <w:rPr>
          <w:rFonts w:ascii="Times New Roman" w:hAnsi="Times New Roman" w:cs="Times New Roman"/>
          <w:sz w:val="24"/>
          <w:szCs w:val="24"/>
        </w:rPr>
        <w:t xml:space="preserve">The deployment of BioBanking will also change the network protocols because of the mixed payment capability. </w:t>
      </w:r>
      <w:r w:rsidR="005115E8">
        <w:rPr>
          <w:rFonts w:ascii="Times New Roman" w:hAnsi="Times New Roman" w:cs="Times New Roman"/>
          <w:sz w:val="24"/>
          <w:szCs w:val="24"/>
        </w:rPr>
        <w:t>The networks will have to be much faster because the consumer can use up to five different accounts to pay for an item. This requires balance checks and authorizations quickly. In the far-term single payment option cards will go away.</w:t>
      </w:r>
    </w:p>
    <w:p w:rsidR="0059727B" w:rsidRDefault="005115E8" w:rsidP="005115E8">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S</w:t>
      </w:r>
      <w:r w:rsidR="0059727B" w:rsidRPr="005115E8">
        <w:rPr>
          <w:rFonts w:ascii="Times New Roman" w:hAnsi="Times New Roman" w:cs="Times New Roman"/>
          <w:sz w:val="24"/>
          <w:szCs w:val="24"/>
        </w:rPr>
        <w:t xml:space="preserve">ecurity </w:t>
      </w:r>
      <w:r w:rsidR="001436C6" w:rsidRPr="005115E8">
        <w:rPr>
          <w:rFonts w:ascii="Times New Roman" w:hAnsi="Times New Roman" w:cs="Times New Roman"/>
          <w:sz w:val="24"/>
          <w:szCs w:val="24"/>
        </w:rPr>
        <w:t>will fundamentally change</w:t>
      </w:r>
      <w:r>
        <w:rPr>
          <w:rFonts w:ascii="Times New Roman" w:hAnsi="Times New Roman" w:cs="Times New Roman"/>
          <w:sz w:val="24"/>
          <w:szCs w:val="24"/>
        </w:rPr>
        <w:t xml:space="preserve"> with BioBanking</w:t>
      </w:r>
      <w:r w:rsidR="001436C6" w:rsidRPr="005115E8">
        <w:rPr>
          <w:rFonts w:ascii="Times New Roman" w:hAnsi="Times New Roman" w:cs="Times New Roman"/>
          <w:sz w:val="24"/>
          <w:szCs w:val="24"/>
        </w:rPr>
        <w:t>.</w:t>
      </w:r>
      <w:r w:rsidR="00CF6016">
        <w:rPr>
          <w:rFonts w:ascii="Times New Roman" w:hAnsi="Times New Roman" w:cs="Times New Roman"/>
          <w:sz w:val="24"/>
          <w:szCs w:val="24"/>
        </w:rPr>
        <w:t xml:space="preserve"> For the short-term the single authentication cards will still be allowed on normal readers. In the far-term all </w:t>
      </w:r>
      <w:r w:rsidR="00CF6016">
        <w:rPr>
          <w:rFonts w:ascii="Times New Roman" w:hAnsi="Times New Roman" w:cs="Times New Roman"/>
          <w:sz w:val="24"/>
          <w:szCs w:val="24"/>
        </w:rPr>
        <w:lastRenderedPageBreak/>
        <w:t xml:space="preserve">financial transaction security must be active interrogation with biometric authentication. </w:t>
      </w:r>
      <w:r w:rsidR="001436C6" w:rsidRPr="005115E8">
        <w:rPr>
          <w:rFonts w:ascii="Times New Roman" w:hAnsi="Times New Roman" w:cs="Times New Roman"/>
          <w:sz w:val="24"/>
          <w:szCs w:val="24"/>
        </w:rPr>
        <w:t xml:space="preserve"> </w:t>
      </w:r>
    </w:p>
    <w:p w:rsidR="00CF6016" w:rsidRPr="005115E8" w:rsidRDefault="00CF6016" w:rsidP="005115E8">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Lastly, the current methods for buying online will remain the same. However, Watson MegaTech has a design and plan to develop a home BioBanking receiver that will plug into the computer to offer the same level of protection for online as in-store shopping.</w:t>
      </w:r>
    </w:p>
    <w:p w:rsidR="00B242D3" w:rsidRDefault="00203CC7" w:rsidP="001436C6">
      <w:pPr>
        <w:pStyle w:val="Heading1"/>
      </w:pPr>
      <w:r>
        <w:t xml:space="preserve">US Patent and </w:t>
      </w:r>
      <w:r w:rsidR="00B242D3">
        <w:t>FDA Compliance Report</w:t>
      </w:r>
    </w:p>
    <w:p w:rsidR="004D35ED" w:rsidRDefault="001436C6" w:rsidP="004D35ED">
      <w:pPr>
        <w:ind w:firstLine="360"/>
        <w:rPr>
          <w:rFonts w:ascii="Times New Roman" w:hAnsi="Times New Roman" w:cs="Times New Roman"/>
          <w:sz w:val="24"/>
          <w:szCs w:val="24"/>
        </w:rPr>
      </w:pPr>
      <w:r>
        <w:rPr>
          <w:rFonts w:ascii="Times New Roman" w:hAnsi="Times New Roman" w:cs="Times New Roman"/>
          <w:sz w:val="24"/>
          <w:szCs w:val="24"/>
        </w:rPr>
        <w:t>The BioBanking technology is the subject of a US patent</w:t>
      </w:r>
      <w:r w:rsidR="00F51C1D">
        <w:rPr>
          <w:rFonts w:ascii="Times New Roman" w:hAnsi="Times New Roman" w:cs="Times New Roman"/>
          <w:sz w:val="24"/>
          <w:szCs w:val="24"/>
        </w:rPr>
        <w:t xml:space="preserve"> offering seven years of competition protection or franchising rights. The Insert device is the subject of US Patent 9,998,473 since it is the most technologically complex part of the system. The patent was awarded December 15, 2009.</w:t>
      </w:r>
    </w:p>
    <w:p w:rsidR="00F51C1D" w:rsidRDefault="00F51C1D" w:rsidP="004D35ED">
      <w:pPr>
        <w:ind w:firstLine="360"/>
        <w:rPr>
          <w:rFonts w:ascii="Times New Roman" w:eastAsia="NotDefSpecial" w:hAnsi="Times New Roman" w:cs="Times New Roman"/>
          <w:sz w:val="24"/>
          <w:szCs w:val="24"/>
        </w:rPr>
      </w:pPr>
      <w:r>
        <w:rPr>
          <w:rFonts w:ascii="Times New Roman" w:hAnsi="Times New Roman" w:cs="Times New Roman"/>
          <w:sz w:val="24"/>
          <w:szCs w:val="24"/>
        </w:rPr>
        <w:t xml:space="preserve">Since the BioBanking system relies on implanted devices and radio frequency, the US Food and Drug Administration (FDA) has strict governance over these type devices under Sections 531 through 542 of the </w:t>
      </w:r>
      <w:r w:rsidRPr="00291976">
        <w:rPr>
          <w:rFonts w:ascii="Times New Roman" w:eastAsia="NotDefSpecial" w:hAnsi="Times New Roman" w:cs="Times New Roman"/>
          <w:sz w:val="24"/>
          <w:szCs w:val="24"/>
        </w:rPr>
        <w:t>Radiation Control for Health and Safety Act of 1968</w:t>
      </w:r>
      <w:r>
        <w:rPr>
          <w:rFonts w:ascii="Times New Roman" w:eastAsia="NotDefSpecial" w:hAnsi="Times New Roman" w:cs="Times New Roman"/>
          <w:sz w:val="24"/>
          <w:szCs w:val="24"/>
        </w:rPr>
        <w:t xml:space="preserve">. Additional governance is located under 21 CFR 814 over clinical trials of the device and proof for three years that it has caused no human illness. Watson MegaTech applied for a US FDA Pre-Market Approval (PMA) to manufacture and distribute the BioBanking Insert device. PMA approval was granted under PMA </w:t>
      </w:r>
      <w:r w:rsidRPr="00F63AD9">
        <w:rPr>
          <w:rFonts w:ascii="Times New Roman" w:eastAsia="NotDefSpecial" w:hAnsi="Times New Roman" w:cs="Times New Roman"/>
          <w:sz w:val="24"/>
          <w:szCs w:val="24"/>
        </w:rPr>
        <w:t>P09</w:t>
      </w:r>
      <w:r>
        <w:rPr>
          <w:rFonts w:ascii="Times New Roman" w:eastAsia="NotDefSpecial" w:hAnsi="Times New Roman" w:cs="Times New Roman"/>
          <w:sz w:val="24"/>
          <w:szCs w:val="24"/>
        </w:rPr>
        <w:t>146</w:t>
      </w:r>
      <w:r w:rsidRPr="00F63AD9">
        <w:rPr>
          <w:rFonts w:ascii="Times New Roman" w:eastAsia="NotDefSpecial" w:hAnsi="Times New Roman" w:cs="Times New Roman"/>
          <w:sz w:val="24"/>
          <w:szCs w:val="24"/>
        </w:rPr>
        <w:t>2</w:t>
      </w:r>
      <w:r>
        <w:rPr>
          <w:rFonts w:ascii="Times New Roman" w:eastAsia="NotDefSpecial" w:hAnsi="Times New Roman" w:cs="Times New Roman"/>
          <w:sz w:val="24"/>
          <w:szCs w:val="24"/>
        </w:rPr>
        <w:t xml:space="preserve"> on December 1, 201</w:t>
      </w:r>
      <w:r w:rsidR="0064797D">
        <w:rPr>
          <w:rFonts w:ascii="Times New Roman" w:eastAsia="NotDefSpecial" w:hAnsi="Times New Roman" w:cs="Times New Roman"/>
          <w:sz w:val="24"/>
          <w:szCs w:val="24"/>
        </w:rPr>
        <w:t>1</w:t>
      </w:r>
      <w:r>
        <w:rPr>
          <w:rFonts w:ascii="Times New Roman" w:eastAsia="NotDefSpecial" w:hAnsi="Times New Roman" w:cs="Times New Roman"/>
          <w:sz w:val="24"/>
          <w:szCs w:val="24"/>
        </w:rPr>
        <w:t xml:space="preserve">. </w:t>
      </w:r>
    </w:p>
    <w:p w:rsidR="0064797D" w:rsidRPr="001436C6" w:rsidRDefault="00DE0ADA" w:rsidP="004D35ED">
      <w:pPr>
        <w:ind w:firstLine="360"/>
        <w:rPr>
          <w:rFonts w:ascii="Times New Roman" w:hAnsi="Times New Roman" w:cs="Times New Roman"/>
          <w:sz w:val="24"/>
          <w:szCs w:val="24"/>
        </w:rPr>
      </w:pPr>
      <w:r>
        <w:rPr>
          <w:rFonts w:ascii="Times New Roman" w:eastAsia="NotDefSpecial" w:hAnsi="Times New Roman" w:cs="Times New Roman"/>
          <w:sz w:val="24"/>
          <w:szCs w:val="24"/>
        </w:rPr>
        <w:t>Both of these documents are on file for reference as part of the technology development package.</w:t>
      </w:r>
    </w:p>
    <w:p w:rsidR="00924A4C" w:rsidRDefault="00924A4C" w:rsidP="00A637EB">
      <w:pPr>
        <w:pStyle w:val="Heading1"/>
      </w:pPr>
      <w:r>
        <w:t>Long-Term Technology Plans</w:t>
      </w:r>
    </w:p>
    <w:p w:rsidR="0034197A" w:rsidRDefault="00A637EB" w:rsidP="004D35ED">
      <w:pPr>
        <w:ind w:firstLine="360"/>
        <w:rPr>
          <w:rFonts w:ascii="Times New Roman" w:hAnsi="Times New Roman" w:cs="Times New Roman"/>
          <w:sz w:val="24"/>
          <w:szCs w:val="24"/>
        </w:rPr>
      </w:pPr>
      <w:r>
        <w:rPr>
          <w:rFonts w:ascii="Times New Roman" w:hAnsi="Times New Roman" w:cs="Times New Roman"/>
          <w:sz w:val="24"/>
          <w:szCs w:val="24"/>
        </w:rPr>
        <w:t xml:space="preserve">There are two major market segments that can be penetrated for significantly more growth in the BioBanking segment. These are the international market segment and the home network personal online shopping segment. </w:t>
      </w:r>
    </w:p>
    <w:p w:rsidR="0034197A" w:rsidRDefault="0034197A" w:rsidP="004D35ED">
      <w:pPr>
        <w:ind w:firstLine="360"/>
        <w:rPr>
          <w:rFonts w:ascii="Times New Roman" w:hAnsi="Times New Roman" w:cs="Times New Roman"/>
          <w:sz w:val="24"/>
          <w:szCs w:val="24"/>
        </w:rPr>
      </w:pPr>
      <w:r>
        <w:rPr>
          <w:rFonts w:ascii="Times New Roman" w:hAnsi="Times New Roman" w:cs="Times New Roman"/>
          <w:sz w:val="24"/>
          <w:szCs w:val="24"/>
        </w:rPr>
        <w:t>Since many US financial institutions do business around the globe and have reciprocal relationships with overseas banks, expansion into the global BioBanking market is a planned future endeavor. If magnetic cards are deleted from financial institutions in the US, there is still a problem with Americans traveling abroad where the technology is not available. Expansion into the global financial market will allow complete eradication of magnetic card banking and mostly terminate individual identity theft.</w:t>
      </w:r>
    </w:p>
    <w:p w:rsidR="0034197A" w:rsidRDefault="0034197A" w:rsidP="004D35ED">
      <w:pPr>
        <w:ind w:firstLine="360"/>
        <w:rPr>
          <w:rFonts w:ascii="Times New Roman" w:hAnsi="Times New Roman" w:cs="Times New Roman"/>
          <w:sz w:val="24"/>
          <w:szCs w:val="24"/>
        </w:rPr>
      </w:pPr>
      <w:r>
        <w:rPr>
          <w:rFonts w:ascii="Times New Roman" w:hAnsi="Times New Roman" w:cs="Times New Roman"/>
          <w:sz w:val="24"/>
          <w:szCs w:val="24"/>
        </w:rPr>
        <w:t xml:space="preserve">Many consumers are now buying online and the use a BioBanking for these type purchases will be prohibitive. To combat this the next easy growth step is to develop personal BioBanking readers for home use. These would be peripherals just like a printer and attach via something like Universal Serial Bus (USB) connection on the home computer. To maximize the utility, the most likely progression will be to develop an application for Smart Phones or Tablets so online </w:t>
      </w:r>
      <w:r>
        <w:rPr>
          <w:rFonts w:ascii="Times New Roman" w:hAnsi="Times New Roman" w:cs="Times New Roman"/>
          <w:sz w:val="24"/>
          <w:szCs w:val="24"/>
        </w:rPr>
        <w:lastRenderedPageBreak/>
        <w:t xml:space="preserve">purchases can be executed via a BioBanking Insert on the customer’s phone. </w:t>
      </w:r>
      <w:r w:rsidR="00802E63">
        <w:rPr>
          <w:rFonts w:ascii="Times New Roman" w:hAnsi="Times New Roman" w:cs="Times New Roman"/>
          <w:sz w:val="24"/>
          <w:szCs w:val="24"/>
        </w:rPr>
        <w:t>This will represent a giant leap forward in utility for the product and will be a natural extension for very little capital investment.</w:t>
      </w:r>
    </w:p>
    <w:p w:rsidR="004044A6" w:rsidRDefault="004044A6" w:rsidP="004D35ED">
      <w:pPr>
        <w:ind w:firstLine="360"/>
        <w:rPr>
          <w:rFonts w:ascii="Times New Roman" w:hAnsi="Times New Roman" w:cs="Times New Roman"/>
          <w:sz w:val="24"/>
          <w:szCs w:val="24"/>
        </w:rPr>
      </w:pPr>
      <w:r>
        <w:rPr>
          <w:rFonts w:ascii="Times New Roman" w:hAnsi="Times New Roman" w:cs="Times New Roman"/>
          <w:sz w:val="24"/>
          <w:szCs w:val="24"/>
        </w:rPr>
        <w:t>The last area for long-term migration of this technology could be in the field of personal records. This could include all medical records and, in some cases, criminal records. The encoding in the device would allow interrogators on different frequencies to access the correct set of information. This could represent a huge potential market segment.</w:t>
      </w:r>
    </w:p>
    <w:p w:rsidR="0034197A" w:rsidRDefault="00117EB1" w:rsidP="0034197A">
      <w:pPr>
        <w:pStyle w:val="Heading1"/>
      </w:pPr>
      <w:r>
        <w:t>Concluding Remarks</w:t>
      </w:r>
    </w:p>
    <w:p w:rsidR="004D35ED" w:rsidRDefault="004D35ED" w:rsidP="0034197A">
      <w:pPr>
        <w:rPr>
          <w:rFonts w:ascii="Times New Roman" w:hAnsi="Times New Roman" w:cs="Times New Roman"/>
          <w:sz w:val="24"/>
          <w:szCs w:val="24"/>
        </w:rPr>
      </w:pPr>
      <w:r w:rsidRPr="00F178F7">
        <w:rPr>
          <w:rFonts w:ascii="Times New Roman" w:hAnsi="Times New Roman" w:cs="Times New Roman"/>
          <w:sz w:val="24"/>
          <w:szCs w:val="24"/>
        </w:rPr>
        <w:t xml:space="preserve"> </w:t>
      </w:r>
      <w:r w:rsidR="00F178F7" w:rsidRPr="00F178F7">
        <w:rPr>
          <w:rFonts w:ascii="Times New Roman" w:hAnsi="Times New Roman" w:cs="Times New Roman"/>
          <w:sz w:val="24"/>
          <w:szCs w:val="24"/>
        </w:rPr>
        <w:t xml:space="preserve">Identity </w:t>
      </w:r>
      <w:r w:rsidR="00F178F7">
        <w:rPr>
          <w:rFonts w:ascii="Times New Roman" w:hAnsi="Times New Roman" w:cs="Times New Roman"/>
          <w:sz w:val="24"/>
          <w:szCs w:val="24"/>
        </w:rPr>
        <w:t>t</w:t>
      </w:r>
      <w:r w:rsidR="00F178F7" w:rsidRPr="00F178F7">
        <w:rPr>
          <w:rFonts w:ascii="Times New Roman" w:hAnsi="Times New Roman" w:cs="Times New Roman"/>
          <w:sz w:val="24"/>
          <w:szCs w:val="24"/>
        </w:rPr>
        <w:t xml:space="preserve">heft </w:t>
      </w:r>
      <w:r w:rsidR="00F178F7">
        <w:rPr>
          <w:rFonts w:ascii="Times New Roman" w:hAnsi="Times New Roman" w:cs="Times New Roman"/>
          <w:sz w:val="24"/>
          <w:szCs w:val="24"/>
        </w:rPr>
        <w:t>and financial fraud are significant problems for individual and corporate entities. An Identity theft can destroy a person’s life very quickly and requires hundreds or thousands of hours to correct. Identity theft and non-payment of debt accounts can cost financial institutions billions of dollars. Combatting this requires a new approach and a new technology.</w:t>
      </w:r>
    </w:p>
    <w:p w:rsidR="002D264F" w:rsidRDefault="00F178F7" w:rsidP="00F178F7">
      <w:pPr>
        <w:ind w:firstLine="270"/>
        <w:rPr>
          <w:rFonts w:ascii="Times New Roman" w:hAnsi="Times New Roman" w:cs="Times New Roman"/>
          <w:sz w:val="24"/>
          <w:szCs w:val="24"/>
        </w:rPr>
      </w:pPr>
      <w:r>
        <w:rPr>
          <w:rFonts w:ascii="Times New Roman" w:hAnsi="Times New Roman" w:cs="Times New Roman"/>
          <w:sz w:val="24"/>
          <w:szCs w:val="24"/>
        </w:rPr>
        <w:t xml:space="preserve">BioBanking is that new paradigm for financial transaction security. This is a patented and FDA approved technology that requires an unprecedented level of account and personal security authentication. </w:t>
      </w:r>
      <w:r w:rsidR="002D264F">
        <w:rPr>
          <w:rFonts w:ascii="Times New Roman" w:hAnsi="Times New Roman" w:cs="Times New Roman"/>
          <w:sz w:val="24"/>
          <w:szCs w:val="24"/>
        </w:rPr>
        <w:t xml:space="preserve">Watson MegaTech has a sound strategy for fielding the system without disrupting the current paradigm. Lastly, Watson MegaTech has a solid roadmap for future development of the market. </w:t>
      </w:r>
    </w:p>
    <w:p w:rsidR="002D264F" w:rsidRDefault="002D264F" w:rsidP="00F178F7">
      <w:pPr>
        <w:ind w:firstLine="270"/>
        <w:rPr>
          <w:rFonts w:ascii="Times New Roman" w:hAnsi="Times New Roman" w:cs="Times New Roman"/>
          <w:sz w:val="24"/>
          <w:szCs w:val="24"/>
        </w:rPr>
      </w:pPr>
      <w:r>
        <w:rPr>
          <w:rFonts w:ascii="Times New Roman" w:hAnsi="Times New Roman" w:cs="Times New Roman"/>
          <w:sz w:val="24"/>
          <w:szCs w:val="24"/>
        </w:rPr>
        <w:t xml:space="preserve">We recommend that you strongly consider becoming a partner in this world-class venture to eradicate identity theft and individual financial fraud. </w:t>
      </w:r>
    </w:p>
    <w:p w:rsidR="002D264F" w:rsidRDefault="002D264F" w:rsidP="00F178F7">
      <w:pPr>
        <w:ind w:firstLine="270"/>
        <w:rPr>
          <w:rFonts w:ascii="Times New Roman" w:hAnsi="Times New Roman" w:cs="Times New Roman"/>
          <w:sz w:val="24"/>
          <w:szCs w:val="24"/>
        </w:rPr>
      </w:pPr>
    </w:p>
    <w:sdt>
      <w:sdtPr>
        <w:rPr>
          <w:rFonts w:asciiTheme="minorHAnsi" w:eastAsiaTheme="minorHAnsi" w:hAnsiTheme="minorHAnsi" w:cstheme="minorBidi"/>
          <w:b w:val="0"/>
          <w:bCs w:val="0"/>
          <w:color w:val="auto"/>
          <w:sz w:val="22"/>
          <w:szCs w:val="22"/>
        </w:rPr>
        <w:id w:val="-234170857"/>
        <w:docPartObj>
          <w:docPartGallery w:val="Bibliographies"/>
          <w:docPartUnique/>
        </w:docPartObj>
      </w:sdtPr>
      <w:sdtEndPr/>
      <w:sdtContent>
        <w:p w:rsidR="002D264F" w:rsidRPr="002D264F" w:rsidRDefault="002D264F">
          <w:pPr>
            <w:pStyle w:val="Heading1"/>
            <w:rPr>
              <w:rFonts w:ascii="Times New Roman" w:hAnsi="Times New Roman" w:cs="Times New Roman"/>
              <w:color w:val="auto"/>
              <w:sz w:val="24"/>
              <w:szCs w:val="24"/>
            </w:rPr>
          </w:pPr>
          <w:r>
            <w:rPr>
              <w:rFonts w:ascii="Times New Roman" w:hAnsi="Times New Roman" w:cs="Times New Roman"/>
              <w:color w:val="auto"/>
              <w:sz w:val="24"/>
              <w:szCs w:val="24"/>
            </w:rPr>
            <w:t>References:</w:t>
          </w:r>
        </w:p>
        <w:p w:rsidR="002D264F" w:rsidRDefault="002D264F" w:rsidP="002D264F">
          <w:pPr>
            <w:pStyle w:val="Bibliography"/>
            <w:ind w:left="720" w:hanging="720"/>
            <w:rPr>
              <w:noProof/>
            </w:rPr>
          </w:pPr>
          <w:r>
            <w:fldChar w:fldCharType="begin"/>
          </w:r>
          <w:r>
            <w:instrText xml:space="preserve"> BIBLIOGRAPHY </w:instrText>
          </w:r>
          <w:r>
            <w:fldChar w:fldCharType="separate"/>
          </w:r>
          <w:r>
            <w:rPr>
              <w:noProof/>
            </w:rPr>
            <w:t xml:space="preserve">Gordon, G., &amp; Wilcox, N. (2003). </w:t>
          </w:r>
          <w:r>
            <w:rPr>
              <w:i/>
              <w:iCs/>
              <w:noProof/>
            </w:rPr>
            <w:t>Identity Fraud: A Critical National and Global Threat.</w:t>
          </w:r>
          <w:r>
            <w:rPr>
              <w:noProof/>
            </w:rPr>
            <w:t xml:space="preserve"> Utica, NY: Lexis Nexis and Utica College.</w:t>
          </w:r>
        </w:p>
        <w:p w:rsidR="002D264F" w:rsidRDefault="002D264F" w:rsidP="002D264F">
          <w:pPr>
            <w:pStyle w:val="Bibliography"/>
            <w:ind w:left="720" w:hanging="720"/>
            <w:rPr>
              <w:noProof/>
            </w:rPr>
          </w:pPr>
          <w:r>
            <w:rPr>
              <w:noProof/>
            </w:rPr>
            <w:t xml:space="preserve">Woolsley, B., &amp; Shulz, M. (2011, July). </w:t>
          </w:r>
          <w:r>
            <w:rPr>
              <w:i/>
              <w:iCs/>
              <w:noProof/>
            </w:rPr>
            <w:t xml:space="preserve">Credit card statistics, industry facts, debt statistics </w:t>
          </w:r>
          <w:r>
            <w:rPr>
              <w:noProof/>
            </w:rPr>
            <w:t>. Retrieved Feb 2012, from Credit Cards.com: http://www.creditcards.com/credit-card-news/credit-card-industry-facts-personal-debt-statistics-1276.php</w:t>
          </w:r>
        </w:p>
        <w:p w:rsidR="002D264F" w:rsidRDefault="002D264F" w:rsidP="002D264F">
          <w:pPr>
            <w:pStyle w:val="Bibliography"/>
            <w:ind w:left="720" w:hanging="720"/>
            <w:rPr>
              <w:noProof/>
            </w:rPr>
          </w:pPr>
          <w:r>
            <w:rPr>
              <w:noProof/>
            </w:rPr>
            <w:t xml:space="preserve">Yaeger, C. (2005). </w:t>
          </w:r>
          <w:r>
            <w:rPr>
              <w:i/>
              <w:iCs/>
              <w:noProof/>
            </w:rPr>
            <w:t>Identity Fraud – Impact for Financial Institutions.</w:t>
          </w:r>
          <w:r>
            <w:rPr>
              <w:noProof/>
            </w:rPr>
            <w:t xml:space="preserve"> Atlanta: Benchmark Consulting Inc.</w:t>
          </w:r>
        </w:p>
        <w:p w:rsidR="002D264F" w:rsidRDefault="002D264F" w:rsidP="002D264F">
          <w:r>
            <w:rPr>
              <w:b/>
              <w:bCs/>
            </w:rPr>
            <w:fldChar w:fldCharType="end"/>
          </w:r>
        </w:p>
      </w:sdtContent>
    </w:sdt>
    <w:p w:rsidR="002D264F" w:rsidRDefault="002D264F" w:rsidP="00F178F7">
      <w:pPr>
        <w:ind w:firstLine="270"/>
        <w:rPr>
          <w:rFonts w:ascii="Times New Roman" w:hAnsi="Times New Roman" w:cs="Times New Roman"/>
          <w:sz w:val="24"/>
          <w:szCs w:val="24"/>
        </w:rPr>
      </w:pPr>
      <w:r w:rsidRPr="002D264F">
        <w:rPr>
          <w:rFonts w:ascii="Times New Roman" w:hAnsi="Times New Roman" w:cs="Times New Roman"/>
          <w:b/>
          <w:sz w:val="24"/>
          <w:szCs w:val="24"/>
        </w:rPr>
        <w:t>Attachments</w:t>
      </w:r>
      <w:r>
        <w:rPr>
          <w:rFonts w:ascii="Times New Roman" w:hAnsi="Times New Roman" w:cs="Times New Roman"/>
          <w:sz w:val="24"/>
          <w:szCs w:val="24"/>
        </w:rPr>
        <w:t>:</w:t>
      </w:r>
    </w:p>
    <w:p w:rsidR="00F178F7" w:rsidRPr="00F178F7" w:rsidRDefault="002D264F" w:rsidP="00F178F7">
      <w:pPr>
        <w:ind w:firstLine="270"/>
        <w:rPr>
          <w:rFonts w:ascii="Times New Roman" w:hAnsi="Times New Roman" w:cs="Times New Roman"/>
          <w:sz w:val="24"/>
          <w:szCs w:val="24"/>
        </w:rPr>
      </w:pPr>
      <w:r>
        <w:rPr>
          <w:rFonts w:ascii="Times New Roman" w:hAnsi="Times New Roman" w:cs="Times New Roman"/>
          <w:sz w:val="24"/>
          <w:szCs w:val="24"/>
        </w:rPr>
        <w:t xml:space="preserve">Attachment A – BioBanking Technology Description </w:t>
      </w:r>
    </w:p>
    <w:sectPr w:rsidR="00F178F7" w:rsidRPr="00F178F7">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422B" w:rsidRDefault="00A4422B" w:rsidP="00A4422B">
      <w:pPr>
        <w:spacing w:after="0" w:line="240" w:lineRule="auto"/>
      </w:pPr>
      <w:r>
        <w:separator/>
      </w:r>
    </w:p>
  </w:endnote>
  <w:endnote w:type="continuationSeparator" w:id="0">
    <w:p w:rsidR="00A4422B" w:rsidRDefault="00A4422B" w:rsidP="00A442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NotDefSpecial">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422B" w:rsidRDefault="00A4422B" w:rsidP="00A4422B">
      <w:pPr>
        <w:spacing w:after="0" w:line="240" w:lineRule="auto"/>
      </w:pPr>
      <w:r>
        <w:separator/>
      </w:r>
    </w:p>
  </w:footnote>
  <w:footnote w:type="continuationSeparator" w:id="0">
    <w:p w:rsidR="00A4422B" w:rsidRDefault="00A4422B" w:rsidP="00A442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422B" w:rsidRDefault="00A4422B">
    <w:pPr>
      <w:pStyle w:val="Header"/>
    </w:pPr>
    <w:r>
      <w:t>Chad Watson</w:t>
    </w:r>
    <w:r>
      <w:tab/>
      <w:t>CIS 629 Term Project</w:t>
    </w:r>
    <w:r>
      <w:tab/>
      <w:t>BioBanking Marketing Strategy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0129E"/>
    <w:multiLevelType w:val="hybridMultilevel"/>
    <w:tmpl w:val="C420A5CA"/>
    <w:lvl w:ilvl="0" w:tplc="04090001">
      <w:start w:val="1"/>
      <w:numFmt w:val="bullet"/>
      <w:lvlText w:val=""/>
      <w:lvlJc w:val="left"/>
      <w:pPr>
        <w:ind w:left="720" w:hanging="360"/>
      </w:pPr>
      <w:rPr>
        <w:rFonts w:ascii="Symbol" w:hAnsi="Symbol" w:hint="default"/>
      </w:rPr>
    </w:lvl>
    <w:lvl w:ilvl="1" w:tplc="A810E83A">
      <w:numFmt w:val="bullet"/>
      <w:lvlText w:val="•"/>
      <w:lvlJc w:val="left"/>
      <w:pPr>
        <w:ind w:left="1440" w:hanging="36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E2295C"/>
    <w:multiLevelType w:val="hybridMultilevel"/>
    <w:tmpl w:val="3DDECD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59F6D6D"/>
    <w:multiLevelType w:val="hybridMultilevel"/>
    <w:tmpl w:val="6E5C5CC0"/>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nsid w:val="53F110CA"/>
    <w:multiLevelType w:val="hybridMultilevel"/>
    <w:tmpl w:val="89609E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26E615C"/>
    <w:multiLevelType w:val="hybridMultilevel"/>
    <w:tmpl w:val="B106C898"/>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
    <w:nsid w:val="737222C5"/>
    <w:multiLevelType w:val="hybridMultilevel"/>
    <w:tmpl w:val="17F44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130"/>
    <w:rsid w:val="001029F0"/>
    <w:rsid w:val="00117EB1"/>
    <w:rsid w:val="001436C6"/>
    <w:rsid w:val="001569E5"/>
    <w:rsid w:val="001D4AB8"/>
    <w:rsid w:val="00203CC7"/>
    <w:rsid w:val="00262BD8"/>
    <w:rsid w:val="002777FF"/>
    <w:rsid w:val="002B1425"/>
    <w:rsid w:val="002C364A"/>
    <w:rsid w:val="002D264F"/>
    <w:rsid w:val="0034197A"/>
    <w:rsid w:val="003D00B5"/>
    <w:rsid w:val="003F4B12"/>
    <w:rsid w:val="004044A6"/>
    <w:rsid w:val="004D35ED"/>
    <w:rsid w:val="005038B4"/>
    <w:rsid w:val="005115E8"/>
    <w:rsid w:val="00552A65"/>
    <w:rsid w:val="0059727B"/>
    <w:rsid w:val="006261B2"/>
    <w:rsid w:val="0064797D"/>
    <w:rsid w:val="00676161"/>
    <w:rsid w:val="006C1203"/>
    <w:rsid w:val="007704FA"/>
    <w:rsid w:val="007824E6"/>
    <w:rsid w:val="007950B7"/>
    <w:rsid w:val="00802E63"/>
    <w:rsid w:val="00847877"/>
    <w:rsid w:val="008B1130"/>
    <w:rsid w:val="008B5C9F"/>
    <w:rsid w:val="008D0F29"/>
    <w:rsid w:val="00924A4C"/>
    <w:rsid w:val="009609CF"/>
    <w:rsid w:val="00965ECE"/>
    <w:rsid w:val="00A2485F"/>
    <w:rsid w:val="00A4422B"/>
    <w:rsid w:val="00A637EB"/>
    <w:rsid w:val="00A937C5"/>
    <w:rsid w:val="00A945A0"/>
    <w:rsid w:val="00AF510B"/>
    <w:rsid w:val="00B242D3"/>
    <w:rsid w:val="00B843EA"/>
    <w:rsid w:val="00C4429C"/>
    <w:rsid w:val="00C45350"/>
    <w:rsid w:val="00C865FA"/>
    <w:rsid w:val="00C9266E"/>
    <w:rsid w:val="00CA382E"/>
    <w:rsid w:val="00CF6016"/>
    <w:rsid w:val="00D34C1C"/>
    <w:rsid w:val="00DB5F5B"/>
    <w:rsid w:val="00DE0ADA"/>
    <w:rsid w:val="00E05B50"/>
    <w:rsid w:val="00E221F3"/>
    <w:rsid w:val="00E40030"/>
    <w:rsid w:val="00E42AD9"/>
    <w:rsid w:val="00E60F1D"/>
    <w:rsid w:val="00E629BC"/>
    <w:rsid w:val="00E656CF"/>
    <w:rsid w:val="00F178F7"/>
    <w:rsid w:val="00F26025"/>
    <w:rsid w:val="00F51C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656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C120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6C120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42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422B"/>
  </w:style>
  <w:style w:type="paragraph" w:styleId="Footer">
    <w:name w:val="footer"/>
    <w:basedOn w:val="Normal"/>
    <w:link w:val="FooterChar"/>
    <w:uiPriority w:val="99"/>
    <w:unhideWhenUsed/>
    <w:rsid w:val="00A442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422B"/>
  </w:style>
  <w:style w:type="character" w:customStyle="1" w:styleId="Heading1Char">
    <w:name w:val="Heading 1 Char"/>
    <w:basedOn w:val="DefaultParagraphFont"/>
    <w:link w:val="Heading1"/>
    <w:uiPriority w:val="9"/>
    <w:rsid w:val="00E656C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C120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6C1203"/>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847877"/>
    <w:pPr>
      <w:ind w:left="720"/>
      <w:contextualSpacing/>
    </w:pPr>
  </w:style>
  <w:style w:type="character" w:styleId="Hyperlink">
    <w:name w:val="Hyperlink"/>
    <w:basedOn w:val="DefaultParagraphFont"/>
    <w:uiPriority w:val="99"/>
    <w:semiHidden/>
    <w:unhideWhenUsed/>
    <w:rsid w:val="00E221F3"/>
    <w:rPr>
      <w:color w:val="003399"/>
      <w:u w:val="single"/>
    </w:rPr>
  </w:style>
  <w:style w:type="character" w:styleId="Strong">
    <w:name w:val="Strong"/>
    <w:basedOn w:val="DefaultParagraphFont"/>
    <w:uiPriority w:val="22"/>
    <w:qFormat/>
    <w:rsid w:val="00E221F3"/>
    <w:rPr>
      <w:b/>
      <w:bCs/>
    </w:rPr>
  </w:style>
  <w:style w:type="character" w:customStyle="1" w:styleId="source-gray">
    <w:name w:val="source-gray"/>
    <w:basedOn w:val="DefaultParagraphFont"/>
    <w:rsid w:val="00E221F3"/>
  </w:style>
  <w:style w:type="paragraph" w:styleId="Bibliography">
    <w:name w:val="Bibliography"/>
    <w:basedOn w:val="Normal"/>
    <w:next w:val="Normal"/>
    <w:uiPriority w:val="37"/>
    <w:unhideWhenUsed/>
    <w:rsid w:val="002D26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656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C120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6C120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42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422B"/>
  </w:style>
  <w:style w:type="paragraph" w:styleId="Footer">
    <w:name w:val="footer"/>
    <w:basedOn w:val="Normal"/>
    <w:link w:val="FooterChar"/>
    <w:uiPriority w:val="99"/>
    <w:unhideWhenUsed/>
    <w:rsid w:val="00A442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422B"/>
  </w:style>
  <w:style w:type="character" w:customStyle="1" w:styleId="Heading1Char">
    <w:name w:val="Heading 1 Char"/>
    <w:basedOn w:val="DefaultParagraphFont"/>
    <w:link w:val="Heading1"/>
    <w:uiPriority w:val="9"/>
    <w:rsid w:val="00E656C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C120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6C1203"/>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847877"/>
    <w:pPr>
      <w:ind w:left="720"/>
      <w:contextualSpacing/>
    </w:pPr>
  </w:style>
  <w:style w:type="character" w:styleId="Hyperlink">
    <w:name w:val="Hyperlink"/>
    <w:basedOn w:val="DefaultParagraphFont"/>
    <w:uiPriority w:val="99"/>
    <w:semiHidden/>
    <w:unhideWhenUsed/>
    <w:rsid w:val="00E221F3"/>
    <w:rPr>
      <w:color w:val="003399"/>
      <w:u w:val="single"/>
    </w:rPr>
  </w:style>
  <w:style w:type="character" w:styleId="Strong">
    <w:name w:val="Strong"/>
    <w:basedOn w:val="DefaultParagraphFont"/>
    <w:uiPriority w:val="22"/>
    <w:qFormat/>
    <w:rsid w:val="00E221F3"/>
    <w:rPr>
      <w:b/>
      <w:bCs/>
    </w:rPr>
  </w:style>
  <w:style w:type="character" w:customStyle="1" w:styleId="source-gray">
    <w:name w:val="source-gray"/>
    <w:basedOn w:val="DefaultParagraphFont"/>
    <w:rsid w:val="00E221F3"/>
  </w:style>
  <w:style w:type="paragraph" w:styleId="Bibliography">
    <w:name w:val="Bibliography"/>
    <w:basedOn w:val="Normal"/>
    <w:next w:val="Normal"/>
    <w:uiPriority w:val="37"/>
    <w:unhideWhenUsed/>
    <w:rsid w:val="002D26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245437">
      <w:bodyDiv w:val="1"/>
      <w:marLeft w:val="0"/>
      <w:marRight w:val="0"/>
      <w:marTop w:val="0"/>
      <w:marBottom w:val="0"/>
      <w:divBdr>
        <w:top w:val="none" w:sz="0" w:space="0" w:color="auto"/>
        <w:left w:val="none" w:sz="0" w:space="0" w:color="auto"/>
        <w:bottom w:val="none" w:sz="0" w:space="0" w:color="auto"/>
        <w:right w:val="none" w:sz="0" w:space="0" w:color="auto"/>
      </w:divBdr>
      <w:divsChild>
        <w:div w:id="1514808380">
          <w:marLeft w:val="0"/>
          <w:marRight w:val="0"/>
          <w:marTop w:val="0"/>
          <w:marBottom w:val="0"/>
          <w:divBdr>
            <w:top w:val="none" w:sz="0" w:space="0" w:color="auto"/>
            <w:left w:val="none" w:sz="0" w:space="0" w:color="auto"/>
            <w:bottom w:val="none" w:sz="0" w:space="0" w:color="auto"/>
            <w:right w:val="none" w:sz="0" w:space="0" w:color="auto"/>
          </w:divBdr>
          <w:divsChild>
            <w:div w:id="1290017050">
              <w:marLeft w:val="0"/>
              <w:marRight w:val="0"/>
              <w:marTop w:val="0"/>
              <w:marBottom w:val="0"/>
              <w:divBdr>
                <w:top w:val="none" w:sz="0" w:space="0" w:color="auto"/>
                <w:left w:val="none" w:sz="0" w:space="0" w:color="auto"/>
                <w:bottom w:val="none" w:sz="0" w:space="0" w:color="auto"/>
                <w:right w:val="none" w:sz="0" w:space="0" w:color="auto"/>
              </w:divBdr>
              <w:divsChild>
                <w:div w:id="187565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071208">
      <w:bodyDiv w:val="1"/>
      <w:marLeft w:val="0"/>
      <w:marRight w:val="0"/>
      <w:marTop w:val="0"/>
      <w:marBottom w:val="75"/>
      <w:divBdr>
        <w:top w:val="none" w:sz="0" w:space="0" w:color="auto"/>
        <w:left w:val="none" w:sz="0" w:space="0" w:color="auto"/>
        <w:bottom w:val="none" w:sz="0" w:space="0" w:color="auto"/>
        <w:right w:val="none" w:sz="0" w:space="0" w:color="auto"/>
      </w:divBdr>
      <w:divsChild>
        <w:div w:id="433744291">
          <w:marLeft w:val="0"/>
          <w:marRight w:val="0"/>
          <w:marTop w:val="0"/>
          <w:marBottom w:val="0"/>
          <w:divBdr>
            <w:top w:val="none" w:sz="0" w:space="0" w:color="auto"/>
            <w:left w:val="none" w:sz="0" w:space="0" w:color="auto"/>
            <w:bottom w:val="none" w:sz="0" w:space="0" w:color="auto"/>
            <w:right w:val="none" w:sz="0" w:space="0" w:color="auto"/>
          </w:divBdr>
        </w:div>
      </w:divsChild>
    </w:div>
    <w:div w:id="984166998">
      <w:bodyDiv w:val="1"/>
      <w:marLeft w:val="0"/>
      <w:marRight w:val="0"/>
      <w:marTop w:val="0"/>
      <w:marBottom w:val="0"/>
      <w:divBdr>
        <w:top w:val="none" w:sz="0" w:space="0" w:color="auto"/>
        <w:left w:val="none" w:sz="0" w:space="0" w:color="auto"/>
        <w:bottom w:val="none" w:sz="0" w:space="0" w:color="auto"/>
        <w:right w:val="none" w:sz="0" w:space="0" w:color="auto"/>
      </w:divBdr>
      <w:divsChild>
        <w:div w:id="301085331">
          <w:marLeft w:val="0"/>
          <w:marRight w:val="0"/>
          <w:marTop w:val="0"/>
          <w:marBottom w:val="0"/>
          <w:divBdr>
            <w:top w:val="none" w:sz="0" w:space="0" w:color="auto"/>
            <w:left w:val="none" w:sz="0" w:space="0" w:color="auto"/>
            <w:bottom w:val="none" w:sz="0" w:space="0" w:color="auto"/>
            <w:right w:val="none" w:sz="0" w:space="0" w:color="auto"/>
          </w:divBdr>
          <w:divsChild>
            <w:div w:id="1844540749">
              <w:marLeft w:val="0"/>
              <w:marRight w:val="0"/>
              <w:marTop w:val="0"/>
              <w:marBottom w:val="0"/>
              <w:divBdr>
                <w:top w:val="none" w:sz="0" w:space="0" w:color="auto"/>
                <w:left w:val="none" w:sz="0" w:space="0" w:color="auto"/>
                <w:bottom w:val="none" w:sz="0" w:space="0" w:color="auto"/>
                <w:right w:val="none" w:sz="0" w:space="0" w:color="auto"/>
              </w:divBdr>
              <w:divsChild>
                <w:div w:id="139881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764244">
      <w:bodyDiv w:val="1"/>
      <w:marLeft w:val="0"/>
      <w:marRight w:val="0"/>
      <w:marTop w:val="0"/>
      <w:marBottom w:val="0"/>
      <w:divBdr>
        <w:top w:val="none" w:sz="0" w:space="0" w:color="auto"/>
        <w:left w:val="none" w:sz="0" w:space="0" w:color="auto"/>
        <w:bottom w:val="none" w:sz="0" w:space="0" w:color="auto"/>
        <w:right w:val="none" w:sz="0" w:space="0" w:color="auto"/>
      </w:divBdr>
      <w:divsChild>
        <w:div w:id="168450434">
          <w:marLeft w:val="0"/>
          <w:marRight w:val="0"/>
          <w:marTop w:val="0"/>
          <w:marBottom w:val="0"/>
          <w:divBdr>
            <w:top w:val="none" w:sz="0" w:space="0" w:color="auto"/>
            <w:left w:val="none" w:sz="0" w:space="0" w:color="auto"/>
            <w:bottom w:val="none" w:sz="0" w:space="0" w:color="auto"/>
            <w:right w:val="none" w:sz="0" w:space="0" w:color="auto"/>
          </w:divBdr>
          <w:divsChild>
            <w:div w:id="790246402">
              <w:marLeft w:val="0"/>
              <w:marRight w:val="0"/>
              <w:marTop w:val="0"/>
              <w:marBottom w:val="0"/>
              <w:divBdr>
                <w:top w:val="none" w:sz="0" w:space="0" w:color="auto"/>
                <w:left w:val="none" w:sz="0" w:space="0" w:color="auto"/>
                <w:bottom w:val="none" w:sz="0" w:space="0" w:color="auto"/>
                <w:right w:val="none" w:sz="0" w:space="0" w:color="auto"/>
              </w:divBdr>
              <w:divsChild>
                <w:div w:id="123504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161305">
      <w:bodyDiv w:val="1"/>
      <w:marLeft w:val="0"/>
      <w:marRight w:val="0"/>
      <w:marTop w:val="0"/>
      <w:marBottom w:val="0"/>
      <w:divBdr>
        <w:top w:val="none" w:sz="0" w:space="0" w:color="auto"/>
        <w:left w:val="none" w:sz="0" w:space="0" w:color="auto"/>
        <w:bottom w:val="none" w:sz="0" w:space="0" w:color="auto"/>
        <w:right w:val="none" w:sz="0" w:space="0" w:color="auto"/>
      </w:divBdr>
    </w:div>
    <w:div w:id="1925676527">
      <w:bodyDiv w:val="1"/>
      <w:marLeft w:val="0"/>
      <w:marRight w:val="0"/>
      <w:marTop w:val="0"/>
      <w:marBottom w:val="0"/>
      <w:divBdr>
        <w:top w:val="none" w:sz="0" w:space="0" w:color="auto"/>
        <w:left w:val="none" w:sz="0" w:space="0" w:color="auto"/>
        <w:bottom w:val="none" w:sz="0" w:space="0" w:color="auto"/>
        <w:right w:val="none" w:sz="0" w:space="0" w:color="auto"/>
      </w:divBdr>
      <w:divsChild>
        <w:div w:id="1070151673">
          <w:marLeft w:val="0"/>
          <w:marRight w:val="0"/>
          <w:marTop w:val="0"/>
          <w:marBottom w:val="0"/>
          <w:divBdr>
            <w:top w:val="none" w:sz="0" w:space="0" w:color="auto"/>
            <w:left w:val="none" w:sz="0" w:space="0" w:color="auto"/>
            <w:bottom w:val="none" w:sz="0" w:space="0" w:color="auto"/>
            <w:right w:val="none" w:sz="0" w:space="0" w:color="auto"/>
          </w:divBdr>
          <w:divsChild>
            <w:div w:id="732242901">
              <w:marLeft w:val="0"/>
              <w:marRight w:val="0"/>
              <w:marTop w:val="0"/>
              <w:marBottom w:val="0"/>
              <w:divBdr>
                <w:top w:val="none" w:sz="0" w:space="0" w:color="auto"/>
                <w:left w:val="none" w:sz="0" w:space="0" w:color="auto"/>
                <w:bottom w:val="none" w:sz="0" w:space="0" w:color="auto"/>
                <w:right w:val="none" w:sz="0" w:space="0" w:color="auto"/>
              </w:divBdr>
              <w:divsChild>
                <w:div w:id="90356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Che05</b:Tag>
    <b:SourceType>Report</b:SourceType>
    <b:Guid>{6E02FC84-1F07-4174-B01E-C00EF59196A6}</b:Guid>
    <b:Title>Identity Fraud – Impact for Financial Institutions</b:Title>
    <b:Year>2005</b:Year>
    <b:Author>
      <b:Author>
        <b:NameList>
          <b:Person>
            <b:Last>Yaeger</b:Last>
            <b:First>Cheryl</b:First>
          </b:Person>
        </b:NameList>
      </b:Author>
    </b:Author>
    <b:Publisher>Benchmark Consulting Inc.</b:Publisher>
    <b:City>Atlanta</b:City>
    <b:RefOrder>2</b:RefOrder>
  </b:Source>
  <b:Source>
    <b:Tag>Gor03</b:Tag>
    <b:SourceType>Report</b:SourceType>
    <b:Guid>{97295E8A-0E92-41CC-95B5-2B9BBD89D308}</b:Guid>
    <b:Title>Identity Fraud: A Critical National and Global Threat</b:Title>
    <b:Year>2003</b:Year>
    <b:Author>
      <b:Author>
        <b:NameList>
          <b:Person>
            <b:Last>Gordon</b:Last>
            <b:First>Gary</b:First>
          </b:Person>
          <b:Person>
            <b:Last>Wilcox</b:Last>
            <b:First>Norman</b:First>
          </b:Person>
        </b:NameList>
      </b:Author>
    </b:Author>
    <b:Publisher>Lexis Nexis and Utica College</b:Publisher>
    <b:City>Utica, NY</b:City>
    <b:RefOrder>1</b:RefOrder>
  </b:Source>
  <b:Source>
    <b:Tag>Woo111</b:Tag>
    <b:SourceType>InternetSite</b:SourceType>
    <b:Guid>{4469AD4A-ACD8-4FDD-9E63-83AFC2AF7922}</b:Guid>
    <b:Title>Credit card statistics, industry facts, debt statistics </b:Title>
    <b:Year>2011</b:Year>
    <b:Author>
      <b:Author>
        <b:NameList>
          <b:Person>
            <b:Last>Woolsley</b:Last>
            <b:First>Ben</b:First>
          </b:Person>
          <b:Person>
            <b:Last>Shulz</b:Last>
            <b:First>Matt</b:First>
          </b:Person>
        </b:NameList>
      </b:Author>
    </b:Author>
    <b:InternetSiteTitle>Credit Cards.com</b:InternetSiteTitle>
    <b:Month>July</b:Month>
    <b:YearAccessed>2012</b:YearAccessed>
    <b:MonthAccessed>Feb</b:MonthAccessed>
    <b:URL>http://www.creditcards.com/credit-card-news/credit-card-industry-facts-personal-debt-statistics-1276.php</b:URL>
    <b:RefOrder>3</b:RefOrder>
  </b:Source>
</b:Sources>
</file>

<file path=customXml/itemProps1.xml><?xml version="1.0" encoding="utf-8"?>
<ds:datastoreItem xmlns:ds="http://schemas.openxmlformats.org/officeDocument/2006/customXml" ds:itemID="{D70CD753-1238-459E-80C9-0746DF24E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2476</Words>
  <Characters>14115</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BioBanking Marketing Strategy</vt:lpstr>
    </vt:vector>
  </TitlesOfParts>
  <Company>The MITRE Corporation</Company>
  <LinksUpToDate>false</LinksUpToDate>
  <CharactersWithSpaces>16558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BioBanking Marketing Strategy</dc:title>
  <dc:subject/>
  <dc:creator>Chad Watson</dc:creator>
  <cp:keywords/>
  <dc:description/>
  <cp:lastModifiedBy>Chad Watson</cp:lastModifiedBy>
  <cp:revision>46</cp:revision>
  <dcterms:created xsi:type="dcterms:W3CDTF">2012-01-29T04:11:00Z</dcterms:created>
  <dcterms:modified xsi:type="dcterms:W3CDTF">2012-02-27T17:54:00Z</dcterms:modified>
</cp:coreProperties>
</file>